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CCD" w:rsidRDefault="00295DC3" w:rsidP="00AE2CC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ЗМ</w:t>
      </w:r>
      <w:r w:rsidR="00AE2CCD" w:rsidRPr="00AE2CCD">
        <w:rPr>
          <w:rFonts w:ascii="Times New Roman" w:hAnsi="Times New Roman" w:cs="Times New Roman"/>
          <w:b/>
          <w:sz w:val="28"/>
          <w:szCs w:val="28"/>
        </w:rPr>
        <w:t>ІСТ</w:t>
      </w:r>
    </w:p>
    <w:p w:rsidR="00AE2CCD" w:rsidRDefault="00AE2CCD" w:rsidP="00AE2CC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2CCD" w:rsidRPr="00AE2CCD" w:rsidRDefault="00AE2CCD" w:rsidP="00AE2CC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2CCD" w:rsidRPr="00AE2CCD" w:rsidRDefault="00AE2CCD" w:rsidP="00AE2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2CCD">
        <w:rPr>
          <w:rFonts w:ascii="Times New Roman" w:hAnsi="Times New Roman" w:cs="Times New Roman"/>
          <w:sz w:val="28"/>
          <w:szCs w:val="28"/>
        </w:rPr>
        <w:t>І.</w:t>
      </w:r>
      <w:r w:rsidR="0068038A">
        <w:rPr>
          <w:rFonts w:ascii="Times New Roman" w:hAnsi="Times New Roman" w:cs="Times New Roman"/>
          <w:sz w:val="28"/>
          <w:szCs w:val="28"/>
        </w:rPr>
        <w:t xml:space="preserve"> </w:t>
      </w:r>
      <w:r w:rsidRPr="00AE2CCD">
        <w:rPr>
          <w:rFonts w:ascii="Times New Roman" w:hAnsi="Times New Roman" w:cs="Times New Roman"/>
          <w:sz w:val="28"/>
          <w:szCs w:val="28"/>
        </w:rPr>
        <w:t>Загальна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2CCD">
        <w:rPr>
          <w:rFonts w:ascii="Times New Roman" w:hAnsi="Times New Roman" w:cs="Times New Roman"/>
          <w:sz w:val="28"/>
          <w:szCs w:val="28"/>
        </w:rPr>
        <w:t xml:space="preserve">характеристика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E2CCD">
        <w:rPr>
          <w:rFonts w:ascii="Times New Roman" w:hAnsi="Times New Roman" w:cs="Times New Roman"/>
          <w:sz w:val="28"/>
          <w:szCs w:val="28"/>
        </w:rPr>
        <w:t>ідприємства..................</w:t>
      </w:r>
      <w:r w:rsidR="0068038A">
        <w:rPr>
          <w:rFonts w:ascii="Times New Roman" w:hAnsi="Times New Roman" w:cs="Times New Roman"/>
          <w:sz w:val="28"/>
          <w:szCs w:val="28"/>
        </w:rPr>
        <w:t>...............................</w:t>
      </w:r>
      <w:r w:rsidRPr="00AE2CCD">
        <w:rPr>
          <w:rFonts w:ascii="Times New Roman" w:hAnsi="Times New Roman" w:cs="Times New Roman"/>
          <w:sz w:val="28"/>
          <w:szCs w:val="28"/>
        </w:rPr>
        <w:t>.............</w:t>
      </w:r>
      <w:r w:rsidR="00402F5B">
        <w:rPr>
          <w:rFonts w:ascii="Times New Roman" w:hAnsi="Times New Roman" w:cs="Times New Roman"/>
          <w:sz w:val="28"/>
          <w:szCs w:val="28"/>
        </w:rPr>
        <w:t>...</w:t>
      </w:r>
      <w:r w:rsidR="0068038A">
        <w:rPr>
          <w:rFonts w:ascii="Times New Roman" w:hAnsi="Times New Roman" w:cs="Times New Roman"/>
          <w:sz w:val="28"/>
          <w:szCs w:val="28"/>
        </w:rPr>
        <w:t>2</w:t>
      </w:r>
    </w:p>
    <w:p w:rsidR="00AE2CCD" w:rsidRPr="00AE2CCD" w:rsidRDefault="00AE2CCD" w:rsidP="00AE2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2CCD">
        <w:rPr>
          <w:rFonts w:ascii="Times New Roman" w:hAnsi="Times New Roman" w:cs="Times New Roman"/>
          <w:sz w:val="28"/>
          <w:szCs w:val="28"/>
        </w:rPr>
        <w:t>Короткі відомості....................................................................................................</w:t>
      </w:r>
      <w:r w:rsidR="00402F5B">
        <w:rPr>
          <w:rFonts w:ascii="Times New Roman" w:hAnsi="Times New Roman" w:cs="Times New Roman"/>
          <w:sz w:val="28"/>
          <w:szCs w:val="28"/>
        </w:rPr>
        <w:t>...</w:t>
      </w:r>
      <w:r w:rsidRPr="00AE2CCD">
        <w:rPr>
          <w:rFonts w:ascii="Times New Roman" w:hAnsi="Times New Roman" w:cs="Times New Roman"/>
          <w:sz w:val="28"/>
          <w:szCs w:val="28"/>
        </w:rPr>
        <w:t>.</w:t>
      </w:r>
      <w:r w:rsidR="0068038A">
        <w:rPr>
          <w:rFonts w:ascii="Times New Roman" w:hAnsi="Times New Roman" w:cs="Times New Roman"/>
          <w:sz w:val="28"/>
          <w:szCs w:val="28"/>
        </w:rPr>
        <w:t>2</w:t>
      </w:r>
    </w:p>
    <w:p w:rsidR="00AE2CCD" w:rsidRPr="00AE2CCD" w:rsidRDefault="00AE2CCD" w:rsidP="00AE2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2CCD">
        <w:rPr>
          <w:rFonts w:ascii="Times New Roman" w:hAnsi="Times New Roman" w:cs="Times New Roman"/>
          <w:sz w:val="28"/>
          <w:szCs w:val="28"/>
        </w:rPr>
        <w:t>Організаційна структура.........................................................................................</w:t>
      </w:r>
      <w:r w:rsidR="00402F5B">
        <w:rPr>
          <w:rFonts w:ascii="Times New Roman" w:hAnsi="Times New Roman" w:cs="Times New Roman"/>
          <w:sz w:val="28"/>
          <w:szCs w:val="28"/>
        </w:rPr>
        <w:t>...</w:t>
      </w:r>
      <w:r w:rsidR="0068038A">
        <w:rPr>
          <w:rFonts w:ascii="Times New Roman" w:hAnsi="Times New Roman" w:cs="Times New Roman"/>
          <w:sz w:val="28"/>
          <w:szCs w:val="28"/>
        </w:rPr>
        <w:t>4</w:t>
      </w:r>
    </w:p>
    <w:p w:rsidR="00AE2CCD" w:rsidRPr="00AE2CCD" w:rsidRDefault="00AE2CCD" w:rsidP="00AE2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2CCD">
        <w:rPr>
          <w:rFonts w:ascii="Times New Roman" w:hAnsi="Times New Roman" w:cs="Times New Roman"/>
          <w:sz w:val="28"/>
          <w:szCs w:val="28"/>
        </w:rPr>
        <w:t>ІІ. Основні підсумки діяльності підприємства за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E2CCD">
        <w:rPr>
          <w:rFonts w:ascii="Times New Roman" w:hAnsi="Times New Roman" w:cs="Times New Roman"/>
          <w:sz w:val="28"/>
          <w:szCs w:val="28"/>
        </w:rPr>
        <w:t xml:space="preserve"> рік.......</w:t>
      </w:r>
      <w:r>
        <w:rPr>
          <w:rFonts w:ascii="Times New Roman" w:hAnsi="Times New Roman" w:cs="Times New Roman"/>
          <w:sz w:val="28"/>
          <w:szCs w:val="28"/>
        </w:rPr>
        <w:t>................</w:t>
      </w:r>
      <w:r w:rsidR="00180EC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.....</w:t>
      </w:r>
      <w:r w:rsidRPr="00AE2CCD">
        <w:rPr>
          <w:rFonts w:ascii="Times New Roman" w:hAnsi="Times New Roman" w:cs="Times New Roman"/>
          <w:sz w:val="28"/>
          <w:szCs w:val="28"/>
        </w:rPr>
        <w:t>......</w:t>
      </w:r>
      <w:r w:rsidR="00402F5B">
        <w:rPr>
          <w:rFonts w:ascii="Times New Roman" w:hAnsi="Times New Roman" w:cs="Times New Roman"/>
          <w:sz w:val="28"/>
          <w:szCs w:val="28"/>
        </w:rPr>
        <w:t>..</w:t>
      </w:r>
      <w:r w:rsidR="0068038A">
        <w:rPr>
          <w:rFonts w:ascii="Times New Roman" w:hAnsi="Times New Roman" w:cs="Times New Roman"/>
          <w:sz w:val="28"/>
          <w:szCs w:val="28"/>
        </w:rPr>
        <w:t>6</w:t>
      </w:r>
    </w:p>
    <w:p w:rsidR="00AE2CCD" w:rsidRPr="00AE2CCD" w:rsidRDefault="00AE2CCD" w:rsidP="00AE2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2CCD">
        <w:rPr>
          <w:rFonts w:ascii="Times New Roman" w:hAnsi="Times New Roman" w:cs="Times New Roman"/>
          <w:sz w:val="28"/>
          <w:szCs w:val="28"/>
        </w:rPr>
        <w:t>Досягнення...............................................................................</w:t>
      </w:r>
      <w:r w:rsidR="00AD5D36">
        <w:rPr>
          <w:rFonts w:ascii="Times New Roman" w:hAnsi="Times New Roman" w:cs="Times New Roman"/>
          <w:sz w:val="28"/>
          <w:szCs w:val="28"/>
        </w:rPr>
        <w:t>...............................</w:t>
      </w:r>
      <w:r w:rsidR="00402F5B">
        <w:rPr>
          <w:rFonts w:ascii="Times New Roman" w:hAnsi="Times New Roman" w:cs="Times New Roman"/>
          <w:sz w:val="28"/>
          <w:szCs w:val="28"/>
        </w:rPr>
        <w:t>....</w:t>
      </w:r>
      <w:r w:rsidR="0068038A">
        <w:rPr>
          <w:rFonts w:ascii="Times New Roman" w:hAnsi="Times New Roman" w:cs="Times New Roman"/>
          <w:sz w:val="28"/>
          <w:szCs w:val="28"/>
        </w:rPr>
        <w:t>6</w:t>
      </w:r>
    </w:p>
    <w:p w:rsidR="00AE2CCD" w:rsidRPr="00AE2CCD" w:rsidRDefault="00AE2CCD" w:rsidP="00AE2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2CCD">
        <w:rPr>
          <w:rFonts w:ascii="Times New Roman" w:hAnsi="Times New Roman" w:cs="Times New Roman"/>
          <w:sz w:val="28"/>
          <w:szCs w:val="28"/>
        </w:rPr>
        <w:t>Проблеми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2CCD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</w:t>
      </w:r>
      <w:r w:rsidR="00402F5B">
        <w:rPr>
          <w:rFonts w:ascii="Times New Roman" w:hAnsi="Times New Roman" w:cs="Times New Roman"/>
          <w:sz w:val="28"/>
          <w:szCs w:val="28"/>
        </w:rPr>
        <w:t>...</w:t>
      </w:r>
      <w:r w:rsidR="0068038A">
        <w:rPr>
          <w:rFonts w:ascii="Times New Roman" w:hAnsi="Times New Roman" w:cs="Times New Roman"/>
          <w:sz w:val="28"/>
          <w:szCs w:val="28"/>
        </w:rPr>
        <w:t>6</w:t>
      </w:r>
    </w:p>
    <w:p w:rsidR="00AE2CCD" w:rsidRPr="00AE2CCD" w:rsidRDefault="00AE2CCD" w:rsidP="00AE2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2CCD">
        <w:rPr>
          <w:rFonts w:ascii="Times New Roman" w:hAnsi="Times New Roman" w:cs="Times New Roman"/>
          <w:sz w:val="28"/>
          <w:szCs w:val="28"/>
        </w:rPr>
        <w:t>ІІІ. Виробнича діяльність підприємства....................................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............................</w:t>
      </w:r>
      <w:r w:rsidR="00402F5B">
        <w:rPr>
          <w:rFonts w:ascii="Times New Roman" w:hAnsi="Times New Roman" w:cs="Times New Roman"/>
          <w:sz w:val="28"/>
          <w:szCs w:val="28"/>
        </w:rPr>
        <w:t>...</w:t>
      </w:r>
      <w:r w:rsidR="0068038A">
        <w:rPr>
          <w:rFonts w:ascii="Times New Roman" w:hAnsi="Times New Roman" w:cs="Times New Roman"/>
          <w:sz w:val="28"/>
          <w:szCs w:val="28"/>
        </w:rPr>
        <w:t>7</w:t>
      </w:r>
    </w:p>
    <w:p w:rsidR="00AE2CCD" w:rsidRPr="00AE2CCD" w:rsidRDefault="00AE2CCD" w:rsidP="00AE2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2CCD">
        <w:rPr>
          <w:rFonts w:ascii="Times New Roman" w:hAnsi="Times New Roman" w:cs="Times New Roman"/>
          <w:sz w:val="28"/>
          <w:szCs w:val="28"/>
        </w:rPr>
        <w:t>Технічний стан об’єктів теплопостачання............................................................</w:t>
      </w:r>
      <w:r w:rsidR="00402F5B">
        <w:rPr>
          <w:rFonts w:ascii="Times New Roman" w:hAnsi="Times New Roman" w:cs="Times New Roman"/>
          <w:sz w:val="28"/>
          <w:szCs w:val="28"/>
        </w:rPr>
        <w:t>...</w:t>
      </w:r>
      <w:r w:rsidR="0068038A">
        <w:rPr>
          <w:rFonts w:ascii="Times New Roman" w:hAnsi="Times New Roman" w:cs="Times New Roman"/>
          <w:sz w:val="28"/>
          <w:szCs w:val="28"/>
        </w:rPr>
        <w:t>7</w:t>
      </w:r>
    </w:p>
    <w:p w:rsidR="00AE2CCD" w:rsidRPr="00AE2CCD" w:rsidRDefault="00AE2CCD" w:rsidP="00AE2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2CCD">
        <w:rPr>
          <w:rFonts w:ascii="Times New Roman" w:hAnsi="Times New Roman" w:cs="Times New Roman"/>
          <w:sz w:val="28"/>
          <w:szCs w:val="28"/>
        </w:rPr>
        <w:t>ІV. Збут теплової енергії..................................................................</w:t>
      </w:r>
      <w:r w:rsidR="00AD5D36">
        <w:rPr>
          <w:rFonts w:ascii="Times New Roman" w:hAnsi="Times New Roman" w:cs="Times New Roman"/>
          <w:sz w:val="28"/>
          <w:szCs w:val="28"/>
        </w:rPr>
        <w:t>......................</w:t>
      </w:r>
      <w:r w:rsidR="00402F5B">
        <w:rPr>
          <w:rFonts w:ascii="Times New Roman" w:hAnsi="Times New Roman" w:cs="Times New Roman"/>
          <w:sz w:val="28"/>
          <w:szCs w:val="28"/>
        </w:rPr>
        <w:t>....</w:t>
      </w:r>
      <w:r w:rsidR="0068038A">
        <w:rPr>
          <w:rFonts w:ascii="Times New Roman" w:hAnsi="Times New Roman" w:cs="Times New Roman"/>
          <w:sz w:val="28"/>
          <w:szCs w:val="28"/>
        </w:rPr>
        <w:t>8</w:t>
      </w:r>
    </w:p>
    <w:p w:rsidR="00AE2CCD" w:rsidRPr="00AE2CCD" w:rsidRDefault="00AE2CCD" w:rsidP="00AE2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2CCD">
        <w:rPr>
          <w:rFonts w:ascii="Times New Roman" w:hAnsi="Times New Roman" w:cs="Times New Roman"/>
          <w:sz w:val="28"/>
          <w:szCs w:val="28"/>
        </w:rPr>
        <w:t>Розрахунки населення за спожиті послуги з централізованого опалення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2CCD">
        <w:rPr>
          <w:rFonts w:ascii="Times New Roman" w:hAnsi="Times New Roman" w:cs="Times New Roman"/>
          <w:sz w:val="28"/>
          <w:szCs w:val="28"/>
        </w:rPr>
        <w:t>та централізованого постачання гарячої води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E2CCD">
        <w:rPr>
          <w:rFonts w:ascii="Times New Roman" w:hAnsi="Times New Roman" w:cs="Times New Roman"/>
          <w:sz w:val="28"/>
          <w:szCs w:val="28"/>
        </w:rPr>
        <w:t xml:space="preserve"> бюджетних установ та інших споживачів</w:t>
      </w:r>
      <w:r w:rsidR="00180ECA">
        <w:rPr>
          <w:rFonts w:ascii="Times New Roman" w:hAnsi="Times New Roman" w:cs="Times New Roman"/>
          <w:sz w:val="28"/>
          <w:szCs w:val="28"/>
        </w:rPr>
        <w:t xml:space="preserve"> </w:t>
      </w:r>
      <w:r w:rsidRPr="00AE2CCD">
        <w:rPr>
          <w:rFonts w:ascii="Times New Roman" w:hAnsi="Times New Roman" w:cs="Times New Roman"/>
          <w:sz w:val="28"/>
          <w:szCs w:val="28"/>
        </w:rPr>
        <w:t>за поставлену теплову енергію.....................................................</w:t>
      </w:r>
      <w:r w:rsidR="0068038A">
        <w:rPr>
          <w:rFonts w:ascii="Times New Roman" w:hAnsi="Times New Roman" w:cs="Times New Roman"/>
          <w:sz w:val="28"/>
          <w:szCs w:val="28"/>
        </w:rPr>
        <w:t>..</w:t>
      </w:r>
      <w:r w:rsidRPr="00AE2CCD">
        <w:rPr>
          <w:rFonts w:ascii="Times New Roman" w:hAnsi="Times New Roman" w:cs="Times New Roman"/>
          <w:sz w:val="28"/>
          <w:szCs w:val="28"/>
        </w:rPr>
        <w:t>...</w:t>
      </w:r>
      <w:r w:rsidR="00402F5B">
        <w:rPr>
          <w:rFonts w:ascii="Times New Roman" w:hAnsi="Times New Roman" w:cs="Times New Roman"/>
          <w:sz w:val="28"/>
          <w:szCs w:val="28"/>
        </w:rPr>
        <w:t>....</w:t>
      </w:r>
      <w:r w:rsidR="0068038A">
        <w:rPr>
          <w:rFonts w:ascii="Times New Roman" w:hAnsi="Times New Roman" w:cs="Times New Roman"/>
          <w:sz w:val="28"/>
          <w:szCs w:val="28"/>
        </w:rPr>
        <w:t>9</w:t>
      </w:r>
    </w:p>
    <w:p w:rsidR="00AE2CCD" w:rsidRPr="00AE2CCD" w:rsidRDefault="00AE2CCD" w:rsidP="00AE2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2CCD">
        <w:rPr>
          <w:rFonts w:ascii="Times New Roman" w:hAnsi="Times New Roman" w:cs="Times New Roman"/>
          <w:sz w:val="28"/>
          <w:szCs w:val="28"/>
        </w:rPr>
        <w:t>V. Тарифна політика..........................................................................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</w:t>
      </w:r>
      <w:r w:rsidR="00180ECA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>.....</w:t>
      </w:r>
      <w:r w:rsidR="00AD5D36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E2CCD">
        <w:rPr>
          <w:rFonts w:ascii="Times New Roman" w:hAnsi="Times New Roman" w:cs="Times New Roman"/>
          <w:sz w:val="28"/>
          <w:szCs w:val="28"/>
        </w:rPr>
        <w:t>..</w:t>
      </w:r>
      <w:r w:rsidR="00402F5B">
        <w:rPr>
          <w:rFonts w:ascii="Times New Roman" w:hAnsi="Times New Roman" w:cs="Times New Roman"/>
          <w:sz w:val="28"/>
          <w:szCs w:val="28"/>
        </w:rPr>
        <w:t>....</w:t>
      </w:r>
      <w:r>
        <w:rPr>
          <w:rFonts w:ascii="Times New Roman" w:hAnsi="Times New Roman" w:cs="Times New Roman"/>
          <w:sz w:val="28"/>
          <w:szCs w:val="28"/>
        </w:rPr>
        <w:t>1</w:t>
      </w:r>
      <w:r w:rsidR="0068038A">
        <w:rPr>
          <w:rFonts w:ascii="Times New Roman" w:hAnsi="Times New Roman" w:cs="Times New Roman"/>
          <w:sz w:val="28"/>
          <w:szCs w:val="28"/>
        </w:rPr>
        <w:t>1</w:t>
      </w:r>
    </w:p>
    <w:p w:rsidR="00AE2CCD" w:rsidRDefault="00AE2CCD" w:rsidP="00AE2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2CCD">
        <w:rPr>
          <w:rFonts w:ascii="Times New Roman" w:hAnsi="Times New Roman" w:cs="Times New Roman"/>
          <w:sz w:val="28"/>
          <w:szCs w:val="28"/>
        </w:rPr>
        <w:t xml:space="preserve">VІ.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E2CCD">
        <w:rPr>
          <w:rFonts w:ascii="Times New Roman" w:hAnsi="Times New Roman" w:cs="Times New Roman"/>
          <w:sz w:val="28"/>
          <w:szCs w:val="28"/>
        </w:rPr>
        <w:t>ерс</w:t>
      </w:r>
      <w:r w:rsidR="0068038A">
        <w:rPr>
          <w:rFonts w:ascii="Times New Roman" w:hAnsi="Times New Roman" w:cs="Times New Roman"/>
          <w:sz w:val="28"/>
          <w:szCs w:val="28"/>
        </w:rPr>
        <w:t>пективи.................</w:t>
      </w:r>
      <w:r w:rsidRPr="00AE2CCD">
        <w:rPr>
          <w:rFonts w:ascii="Times New Roman" w:hAnsi="Times New Roman" w:cs="Times New Roman"/>
          <w:sz w:val="28"/>
          <w:szCs w:val="28"/>
        </w:rPr>
        <w:t>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</w:t>
      </w:r>
      <w:r w:rsidR="00180ECA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>......</w:t>
      </w:r>
      <w:r w:rsidR="00AD5D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E2CCD">
        <w:rPr>
          <w:rFonts w:ascii="Times New Roman" w:hAnsi="Times New Roman" w:cs="Times New Roman"/>
          <w:sz w:val="28"/>
          <w:szCs w:val="28"/>
        </w:rPr>
        <w:t>.</w:t>
      </w:r>
      <w:r w:rsidR="00402F5B">
        <w:rPr>
          <w:rFonts w:ascii="Times New Roman" w:hAnsi="Times New Roman" w:cs="Times New Roman"/>
          <w:sz w:val="28"/>
          <w:szCs w:val="28"/>
        </w:rPr>
        <w:t>....</w:t>
      </w:r>
      <w:r w:rsidR="00AD5D36">
        <w:rPr>
          <w:rFonts w:ascii="Times New Roman" w:hAnsi="Times New Roman" w:cs="Times New Roman"/>
          <w:sz w:val="28"/>
          <w:szCs w:val="28"/>
        </w:rPr>
        <w:t>1</w:t>
      </w:r>
      <w:r w:rsidR="0068038A">
        <w:rPr>
          <w:rFonts w:ascii="Times New Roman" w:hAnsi="Times New Roman" w:cs="Times New Roman"/>
          <w:sz w:val="28"/>
          <w:szCs w:val="28"/>
        </w:rPr>
        <w:t>3</w:t>
      </w:r>
    </w:p>
    <w:p w:rsidR="00E82FC3" w:rsidRDefault="00E82FC3" w:rsidP="00AE2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2FC3" w:rsidRDefault="00E82FC3" w:rsidP="00AE2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2FC3" w:rsidRDefault="00E82FC3" w:rsidP="00AE2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2FC3" w:rsidRDefault="00E82FC3" w:rsidP="00AE2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2FC3" w:rsidRDefault="00E82FC3" w:rsidP="00AE2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2FC3" w:rsidRDefault="00E82FC3" w:rsidP="00AE2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2FC3" w:rsidRDefault="00E82FC3" w:rsidP="00AE2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2FC3" w:rsidRDefault="00E82FC3" w:rsidP="00AE2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2FC3" w:rsidRDefault="00E82FC3" w:rsidP="00AE2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2FC3" w:rsidRDefault="00E82FC3" w:rsidP="00AE2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2FC3" w:rsidRDefault="00E82FC3" w:rsidP="00AE2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2FC3" w:rsidRDefault="00E82FC3" w:rsidP="00AE2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2FC3" w:rsidRDefault="00E82FC3" w:rsidP="00AE2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2FC3" w:rsidRDefault="00E82FC3" w:rsidP="00AE2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2FC3" w:rsidRDefault="00E82FC3" w:rsidP="00AE2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2FC3" w:rsidRDefault="00E82FC3" w:rsidP="00AE2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2FC3" w:rsidRDefault="00E82FC3" w:rsidP="00AE2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2FC3" w:rsidRDefault="00E82FC3" w:rsidP="00AE2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2FC3" w:rsidRDefault="00E82FC3" w:rsidP="00AE2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2FC3" w:rsidRDefault="00E82FC3" w:rsidP="00AE2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2FC3" w:rsidRDefault="00E82FC3" w:rsidP="00AE2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2FC3" w:rsidRDefault="00E82FC3" w:rsidP="00AE2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2FC3" w:rsidRDefault="00E82FC3" w:rsidP="00AE2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2FC3" w:rsidRDefault="00E82FC3" w:rsidP="00AE2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2FC3" w:rsidRDefault="00E82FC3" w:rsidP="00AE2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2FC3" w:rsidRDefault="00E82FC3" w:rsidP="00AE2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3553" w:rsidRDefault="00973553" w:rsidP="00AE2CCD">
      <w:pPr>
        <w:spacing w:after="0"/>
      </w:pPr>
      <w:r>
        <w:rPr>
          <w:noProof/>
          <w:lang w:val="ru-RU"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719455" y="719455"/>
            <wp:positionH relativeFrom="margin">
              <wp:align>left</wp:align>
            </wp:positionH>
            <wp:positionV relativeFrom="margin">
              <wp:align>top</wp:align>
            </wp:positionV>
            <wp:extent cx="2263140" cy="3014980"/>
            <wp:effectExtent l="0" t="0" r="3810" b="0"/>
            <wp:wrapSquare wrapText="bothSides"/>
            <wp:docPr id="3" name="Рисунок 3" descr="\\Priemnay\общая теплоенерго\Директор\ФЕВ\фото на отчет\20190208_1529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riemnay\общая теплоенерго\Директор\ФЕВ\фото на отчет\20190208_15293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140" cy="301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E2CCD">
        <w:t xml:space="preserve"> </w:t>
      </w:r>
    </w:p>
    <w:p w:rsidR="00AE2CCD" w:rsidRDefault="00AE2CCD" w:rsidP="00AE2CC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0B18">
        <w:rPr>
          <w:rFonts w:ascii="Times New Roman" w:hAnsi="Times New Roman" w:cs="Times New Roman"/>
          <w:b/>
          <w:sz w:val="28"/>
          <w:szCs w:val="28"/>
        </w:rPr>
        <w:t>ШАНОВНІ МЕШКАНЦІ м. КРЕМЕНЧУКА</w:t>
      </w:r>
      <w:r>
        <w:rPr>
          <w:rFonts w:ascii="Times New Roman" w:hAnsi="Times New Roman" w:cs="Times New Roman"/>
          <w:b/>
          <w:sz w:val="28"/>
          <w:szCs w:val="28"/>
        </w:rPr>
        <w:t>!</w:t>
      </w:r>
    </w:p>
    <w:p w:rsidR="003F6B4F" w:rsidRDefault="003F6B4F" w:rsidP="00AE2CC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71201" w:rsidRDefault="00964675" w:rsidP="00E71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675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64675">
        <w:rPr>
          <w:rFonts w:ascii="Times New Roman" w:hAnsi="Times New Roman" w:cs="Times New Roman"/>
          <w:sz w:val="28"/>
          <w:szCs w:val="28"/>
        </w:rPr>
        <w:t xml:space="preserve"> рік для </w:t>
      </w:r>
      <w:r>
        <w:rPr>
          <w:rFonts w:ascii="Times New Roman" w:hAnsi="Times New Roman" w:cs="Times New Roman"/>
          <w:sz w:val="28"/>
          <w:szCs w:val="28"/>
        </w:rPr>
        <w:t>кому</w:t>
      </w:r>
      <w:r w:rsidRPr="00964675">
        <w:rPr>
          <w:rFonts w:ascii="Times New Roman" w:hAnsi="Times New Roman" w:cs="Times New Roman"/>
          <w:sz w:val="28"/>
          <w:szCs w:val="28"/>
        </w:rPr>
        <w:t>нального підприємства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Теплоенерго</w:t>
      </w:r>
      <w:proofErr w:type="spellEnd"/>
      <w:r w:rsidRPr="00964675">
        <w:rPr>
          <w:rFonts w:ascii="Times New Roman" w:hAnsi="Times New Roman" w:cs="Times New Roman"/>
          <w:sz w:val="28"/>
          <w:szCs w:val="28"/>
        </w:rPr>
        <w:t>» був непростим.</w:t>
      </w:r>
    </w:p>
    <w:p w:rsidR="00964675" w:rsidRPr="00964675" w:rsidRDefault="00964675" w:rsidP="00E71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675">
        <w:rPr>
          <w:rFonts w:ascii="Times New Roman" w:hAnsi="Times New Roman" w:cs="Times New Roman"/>
          <w:sz w:val="28"/>
          <w:szCs w:val="28"/>
        </w:rPr>
        <w:t>Він пройшов в умовах постійного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4675">
        <w:rPr>
          <w:rFonts w:ascii="Times New Roman" w:hAnsi="Times New Roman" w:cs="Times New Roman"/>
          <w:sz w:val="28"/>
          <w:szCs w:val="28"/>
        </w:rPr>
        <w:t>зростання вартості енергоносіїв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4675">
        <w:rPr>
          <w:rFonts w:ascii="Times New Roman" w:hAnsi="Times New Roman" w:cs="Times New Roman"/>
          <w:sz w:val="28"/>
          <w:szCs w:val="28"/>
        </w:rPr>
        <w:t>спа</w:t>
      </w:r>
      <w:r>
        <w:rPr>
          <w:rFonts w:ascii="Times New Roman" w:hAnsi="Times New Roman" w:cs="Times New Roman"/>
          <w:sz w:val="28"/>
          <w:szCs w:val="28"/>
        </w:rPr>
        <w:t>ду економіки</w:t>
      </w:r>
      <w:r w:rsidRPr="0096467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Але, п</w:t>
      </w:r>
      <w:r w:rsidRPr="00964675">
        <w:rPr>
          <w:rFonts w:ascii="Times New Roman" w:hAnsi="Times New Roman" w:cs="Times New Roman"/>
          <w:sz w:val="28"/>
          <w:szCs w:val="28"/>
        </w:rPr>
        <w:t>опри</w:t>
      </w:r>
      <w:r>
        <w:rPr>
          <w:rFonts w:ascii="Times New Roman" w:hAnsi="Times New Roman" w:cs="Times New Roman"/>
          <w:sz w:val="28"/>
          <w:szCs w:val="28"/>
        </w:rPr>
        <w:t xml:space="preserve"> зазначене, колектив КП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Теплоенерго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964675">
        <w:rPr>
          <w:rFonts w:ascii="Times New Roman" w:hAnsi="Times New Roman" w:cs="Times New Roman"/>
          <w:sz w:val="28"/>
          <w:szCs w:val="28"/>
        </w:rPr>
        <w:t xml:space="preserve"> докладає усіх можливих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4675">
        <w:rPr>
          <w:rFonts w:ascii="Times New Roman" w:hAnsi="Times New Roman" w:cs="Times New Roman"/>
          <w:sz w:val="28"/>
          <w:szCs w:val="28"/>
        </w:rPr>
        <w:t>зу</w:t>
      </w:r>
      <w:r>
        <w:rPr>
          <w:rFonts w:ascii="Times New Roman" w:hAnsi="Times New Roman" w:cs="Times New Roman"/>
          <w:sz w:val="28"/>
          <w:szCs w:val="28"/>
        </w:rPr>
        <w:t>силь для забезпечення стабільно</w:t>
      </w:r>
      <w:r w:rsidRPr="00964675">
        <w:rPr>
          <w:rFonts w:ascii="Times New Roman" w:hAnsi="Times New Roman" w:cs="Times New Roman"/>
          <w:sz w:val="28"/>
          <w:szCs w:val="28"/>
        </w:rPr>
        <w:t>го функціонування теплового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4675">
        <w:rPr>
          <w:rFonts w:ascii="Times New Roman" w:hAnsi="Times New Roman" w:cs="Times New Roman"/>
          <w:sz w:val="28"/>
          <w:szCs w:val="28"/>
        </w:rPr>
        <w:t>господарства і надійного та якісного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4675">
        <w:rPr>
          <w:rFonts w:ascii="Times New Roman" w:hAnsi="Times New Roman" w:cs="Times New Roman"/>
          <w:sz w:val="28"/>
          <w:szCs w:val="28"/>
        </w:rPr>
        <w:t>надання послуг своїм споживачам.</w:t>
      </w:r>
    </w:p>
    <w:p w:rsidR="00964675" w:rsidRPr="00964675" w:rsidRDefault="00964675" w:rsidP="009646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Протягом 2018</w:t>
      </w:r>
      <w:r w:rsidRPr="00964675">
        <w:rPr>
          <w:rFonts w:ascii="Times New Roman" w:hAnsi="Times New Roman" w:cs="Times New Roman"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sz w:val="28"/>
          <w:szCs w:val="28"/>
        </w:rPr>
        <w:t xml:space="preserve"> за допомогою </w:t>
      </w:r>
      <w:r w:rsidR="00295DC3">
        <w:rPr>
          <w:rFonts w:ascii="Times New Roman" w:hAnsi="Times New Roman" w:cs="Times New Roman"/>
          <w:sz w:val="28"/>
          <w:szCs w:val="28"/>
        </w:rPr>
        <w:t>фінансування з міського бюджету вдалося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4675">
        <w:rPr>
          <w:rFonts w:ascii="Times New Roman" w:hAnsi="Times New Roman" w:cs="Times New Roman"/>
          <w:sz w:val="28"/>
          <w:szCs w:val="28"/>
        </w:rPr>
        <w:t>пі</w:t>
      </w:r>
      <w:r>
        <w:rPr>
          <w:rFonts w:ascii="Times New Roman" w:hAnsi="Times New Roman" w:cs="Times New Roman"/>
          <w:sz w:val="28"/>
          <w:szCs w:val="28"/>
        </w:rPr>
        <w:t>двищити рівень забезпечення жит</w:t>
      </w:r>
      <w:r w:rsidRPr="00964675">
        <w:rPr>
          <w:rFonts w:ascii="Times New Roman" w:hAnsi="Times New Roman" w:cs="Times New Roman"/>
          <w:sz w:val="28"/>
          <w:szCs w:val="28"/>
        </w:rPr>
        <w:t xml:space="preserve">лового фонду міста </w:t>
      </w:r>
      <w:proofErr w:type="spellStart"/>
      <w:r w:rsidRPr="00964675">
        <w:rPr>
          <w:rFonts w:ascii="Times New Roman" w:hAnsi="Times New Roman" w:cs="Times New Roman"/>
          <w:sz w:val="28"/>
          <w:szCs w:val="28"/>
        </w:rPr>
        <w:t>загальнобудинковими</w:t>
      </w:r>
      <w:proofErr w:type="spellEnd"/>
      <w:r w:rsidRPr="00964675">
        <w:rPr>
          <w:rFonts w:ascii="Times New Roman" w:hAnsi="Times New Roman" w:cs="Times New Roman"/>
          <w:sz w:val="28"/>
          <w:szCs w:val="28"/>
        </w:rPr>
        <w:t xml:space="preserve"> приладами обліку теплової енергії</w:t>
      </w:r>
      <w:r w:rsidR="00295DC3">
        <w:rPr>
          <w:rFonts w:ascii="Times New Roman" w:hAnsi="Times New Roman" w:cs="Times New Roman"/>
          <w:sz w:val="28"/>
          <w:szCs w:val="28"/>
        </w:rPr>
        <w:t>, модернізувати котельні 176 та 142-143, а також провести підготовк</w:t>
      </w:r>
      <w:r w:rsidR="00E71201">
        <w:rPr>
          <w:rFonts w:ascii="Times New Roman" w:hAnsi="Times New Roman" w:cs="Times New Roman"/>
          <w:sz w:val="28"/>
          <w:szCs w:val="28"/>
        </w:rPr>
        <w:t>у систем до опалювального сезону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964675" w:rsidRPr="00964675" w:rsidRDefault="00964675" w:rsidP="00964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Робота</w:t>
      </w:r>
      <w:r w:rsidRPr="00964675">
        <w:rPr>
          <w:rFonts w:ascii="Times New Roman" w:hAnsi="Times New Roman" w:cs="Times New Roman"/>
          <w:sz w:val="28"/>
          <w:szCs w:val="28"/>
        </w:rPr>
        <w:t xml:space="preserve"> трудового колективу підприємства</w:t>
      </w:r>
      <w:r>
        <w:rPr>
          <w:rFonts w:ascii="Times New Roman" w:hAnsi="Times New Roman" w:cs="Times New Roman"/>
          <w:sz w:val="28"/>
          <w:szCs w:val="28"/>
        </w:rPr>
        <w:t xml:space="preserve"> направлена на </w:t>
      </w:r>
      <w:r w:rsidRPr="00964675">
        <w:rPr>
          <w:rFonts w:ascii="Times New Roman" w:hAnsi="Times New Roman" w:cs="Times New Roman"/>
          <w:sz w:val="28"/>
          <w:szCs w:val="28"/>
        </w:rPr>
        <w:t xml:space="preserve"> зниження собівартості виробництва теплової енергії, підвищення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4675">
        <w:rPr>
          <w:rFonts w:ascii="Times New Roman" w:hAnsi="Times New Roman" w:cs="Times New Roman"/>
          <w:sz w:val="28"/>
          <w:szCs w:val="28"/>
        </w:rPr>
        <w:t>якості та надійності тепл</w:t>
      </w:r>
      <w:r>
        <w:rPr>
          <w:rFonts w:ascii="Times New Roman" w:hAnsi="Times New Roman" w:cs="Times New Roman"/>
          <w:sz w:val="28"/>
          <w:szCs w:val="28"/>
        </w:rPr>
        <w:t>опостачання</w:t>
      </w:r>
      <w:r w:rsidRPr="00964675">
        <w:rPr>
          <w:rFonts w:ascii="Times New Roman" w:hAnsi="Times New Roman" w:cs="Times New Roman"/>
          <w:sz w:val="28"/>
          <w:szCs w:val="28"/>
        </w:rPr>
        <w:t xml:space="preserve">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4675">
        <w:rPr>
          <w:rFonts w:ascii="Times New Roman" w:hAnsi="Times New Roman" w:cs="Times New Roman"/>
          <w:sz w:val="28"/>
          <w:szCs w:val="28"/>
        </w:rPr>
        <w:t>забезпечення обліку обсягів споживання послуг, що надаються підприємством.</w:t>
      </w:r>
    </w:p>
    <w:p w:rsidR="00FE78DE" w:rsidRDefault="00964675" w:rsidP="00295D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675">
        <w:rPr>
          <w:rFonts w:ascii="Times New Roman" w:hAnsi="Times New Roman" w:cs="Times New Roman"/>
          <w:sz w:val="28"/>
          <w:szCs w:val="28"/>
        </w:rPr>
        <w:t>Визначальними</w:t>
      </w:r>
      <w:r>
        <w:rPr>
          <w:rFonts w:ascii="Times New Roman" w:hAnsi="Times New Roman" w:cs="Times New Roman"/>
          <w:sz w:val="28"/>
          <w:szCs w:val="28"/>
        </w:rPr>
        <w:t>, та на жаль не позитивними, подіями 2018</w:t>
      </w:r>
      <w:r w:rsidRPr="00964675">
        <w:rPr>
          <w:rFonts w:ascii="Times New Roman" w:hAnsi="Times New Roman" w:cs="Times New Roman"/>
          <w:sz w:val="28"/>
          <w:szCs w:val="28"/>
        </w:rPr>
        <w:t xml:space="preserve"> року, які і</w:t>
      </w:r>
      <w:r>
        <w:rPr>
          <w:rFonts w:ascii="Times New Roman" w:hAnsi="Times New Roman" w:cs="Times New Roman"/>
          <w:sz w:val="28"/>
          <w:szCs w:val="28"/>
        </w:rPr>
        <w:t xml:space="preserve">стотно вплинули на роботу </w:t>
      </w:r>
      <w:r w:rsidRPr="00964675">
        <w:rPr>
          <w:rFonts w:ascii="Times New Roman" w:hAnsi="Times New Roman" w:cs="Times New Roman"/>
          <w:sz w:val="28"/>
          <w:szCs w:val="28"/>
        </w:rPr>
        <w:t>підприємс</w:t>
      </w:r>
      <w:r>
        <w:rPr>
          <w:rFonts w:ascii="Times New Roman" w:hAnsi="Times New Roman" w:cs="Times New Roman"/>
          <w:sz w:val="28"/>
          <w:szCs w:val="28"/>
        </w:rPr>
        <w:t>тва, стал</w:t>
      </w:r>
      <w:r w:rsidR="00295DC3">
        <w:rPr>
          <w:rFonts w:ascii="Times New Roman" w:hAnsi="Times New Roman" w:cs="Times New Roman"/>
          <w:sz w:val="28"/>
          <w:szCs w:val="28"/>
        </w:rPr>
        <w:t>о</w:t>
      </w:r>
      <w:r w:rsidRPr="00964675">
        <w:rPr>
          <w:rFonts w:ascii="Times New Roman" w:hAnsi="Times New Roman" w:cs="Times New Roman"/>
          <w:sz w:val="28"/>
          <w:szCs w:val="28"/>
        </w:rPr>
        <w:t xml:space="preserve"> </w:t>
      </w:r>
      <w:r w:rsidR="00295DC3">
        <w:rPr>
          <w:rFonts w:ascii="Times New Roman" w:hAnsi="Times New Roman" w:cs="Times New Roman"/>
          <w:sz w:val="28"/>
          <w:szCs w:val="28"/>
        </w:rPr>
        <w:t xml:space="preserve">підвищення </w:t>
      </w:r>
      <w:r w:rsidRPr="00964675">
        <w:rPr>
          <w:rFonts w:ascii="Times New Roman" w:hAnsi="Times New Roman" w:cs="Times New Roman"/>
          <w:sz w:val="28"/>
          <w:szCs w:val="28"/>
        </w:rPr>
        <w:t>вартості природного газу</w:t>
      </w:r>
      <w:r w:rsidR="00295DC3">
        <w:rPr>
          <w:rFonts w:ascii="Times New Roman" w:hAnsi="Times New Roman" w:cs="Times New Roman"/>
          <w:sz w:val="28"/>
          <w:szCs w:val="28"/>
        </w:rPr>
        <w:t xml:space="preserve">, </w:t>
      </w:r>
      <w:r w:rsidRPr="00964675">
        <w:rPr>
          <w:rFonts w:ascii="Times New Roman" w:hAnsi="Times New Roman" w:cs="Times New Roman"/>
          <w:sz w:val="28"/>
          <w:szCs w:val="28"/>
        </w:rPr>
        <w:t>електричної енергії,</w:t>
      </w:r>
      <w:r>
        <w:rPr>
          <w:rFonts w:ascii="Times New Roman" w:hAnsi="Times New Roman" w:cs="Times New Roman"/>
          <w:sz w:val="28"/>
          <w:szCs w:val="28"/>
        </w:rPr>
        <w:t xml:space="preserve"> покупного тепла та водопостачання і водовідведення</w:t>
      </w:r>
      <w:r w:rsidRPr="00964675">
        <w:rPr>
          <w:rFonts w:ascii="Times New Roman" w:hAnsi="Times New Roman" w:cs="Times New Roman"/>
          <w:sz w:val="28"/>
          <w:szCs w:val="28"/>
        </w:rPr>
        <w:t xml:space="preserve">. Це, у свою чергу, призвело до </w:t>
      </w:r>
      <w:r>
        <w:rPr>
          <w:rFonts w:ascii="Times New Roman" w:hAnsi="Times New Roman" w:cs="Times New Roman"/>
          <w:sz w:val="28"/>
          <w:szCs w:val="28"/>
        </w:rPr>
        <w:t>підвищення тари</w:t>
      </w:r>
      <w:r w:rsidRPr="00964675">
        <w:rPr>
          <w:rFonts w:ascii="Times New Roman" w:hAnsi="Times New Roman" w:cs="Times New Roman"/>
          <w:sz w:val="28"/>
          <w:szCs w:val="28"/>
        </w:rPr>
        <w:t>фів на послуги підприємства та збільшило фінансове навантаження на сімейні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4675">
        <w:rPr>
          <w:rFonts w:ascii="Times New Roman" w:hAnsi="Times New Roman" w:cs="Times New Roman"/>
          <w:sz w:val="28"/>
          <w:szCs w:val="28"/>
        </w:rPr>
        <w:t xml:space="preserve">бюджети </w:t>
      </w:r>
      <w:r w:rsidR="00FE78DE">
        <w:rPr>
          <w:rFonts w:ascii="Times New Roman" w:hAnsi="Times New Roman" w:cs="Times New Roman"/>
          <w:sz w:val="28"/>
          <w:szCs w:val="28"/>
        </w:rPr>
        <w:t xml:space="preserve">наших споживачів. </w:t>
      </w:r>
    </w:p>
    <w:p w:rsidR="00964675" w:rsidRDefault="00964675" w:rsidP="00964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675">
        <w:rPr>
          <w:rFonts w:ascii="Times New Roman" w:hAnsi="Times New Roman" w:cs="Times New Roman"/>
          <w:sz w:val="28"/>
          <w:szCs w:val="28"/>
        </w:rPr>
        <w:t xml:space="preserve">З метою раціонального та </w:t>
      </w:r>
      <w:r w:rsidR="00295DC3">
        <w:rPr>
          <w:rFonts w:ascii="Times New Roman" w:hAnsi="Times New Roman" w:cs="Times New Roman"/>
          <w:sz w:val="28"/>
          <w:szCs w:val="28"/>
        </w:rPr>
        <w:t>ефективного використання коштів</w:t>
      </w:r>
      <w:r w:rsidRPr="00964675">
        <w:rPr>
          <w:rFonts w:ascii="Times New Roman" w:hAnsi="Times New Roman" w:cs="Times New Roman"/>
          <w:sz w:val="28"/>
          <w:szCs w:val="28"/>
        </w:rPr>
        <w:t xml:space="preserve"> протягом</w:t>
      </w:r>
      <w:r w:rsidR="007338E1">
        <w:rPr>
          <w:rFonts w:ascii="Times New Roman" w:hAnsi="Times New Roman" w:cs="Times New Roman"/>
          <w:sz w:val="28"/>
          <w:szCs w:val="28"/>
        </w:rPr>
        <w:t xml:space="preserve"> 2018</w:t>
      </w:r>
      <w:r w:rsidRPr="00964675">
        <w:rPr>
          <w:rFonts w:ascii="Times New Roman" w:hAnsi="Times New Roman" w:cs="Times New Roman"/>
          <w:sz w:val="28"/>
          <w:szCs w:val="28"/>
        </w:rPr>
        <w:t xml:space="preserve"> року підприємство</w:t>
      </w:r>
      <w:r w:rsidR="001F733D">
        <w:rPr>
          <w:rFonts w:ascii="Times New Roman" w:hAnsi="Times New Roman" w:cs="Times New Roman"/>
          <w:sz w:val="28"/>
          <w:szCs w:val="28"/>
        </w:rPr>
        <w:t>м проводяться</w:t>
      </w:r>
      <w:r w:rsidRPr="00964675">
        <w:rPr>
          <w:rFonts w:ascii="Times New Roman" w:hAnsi="Times New Roman" w:cs="Times New Roman"/>
          <w:sz w:val="28"/>
          <w:szCs w:val="28"/>
        </w:rPr>
        <w:t xml:space="preserve"> тендерні закупівлі</w:t>
      </w:r>
      <w:r w:rsidR="001F733D">
        <w:rPr>
          <w:rFonts w:ascii="Times New Roman" w:hAnsi="Times New Roman" w:cs="Times New Roman"/>
          <w:sz w:val="28"/>
          <w:szCs w:val="28"/>
        </w:rPr>
        <w:t xml:space="preserve"> та відкриті торги </w:t>
      </w:r>
      <w:r w:rsidRPr="00964675">
        <w:rPr>
          <w:rFonts w:ascii="Times New Roman" w:hAnsi="Times New Roman" w:cs="Times New Roman"/>
          <w:sz w:val="28"/>
          <w:szCs w:val="28"/>
        </w:rPr>
        <w:t xml:space="preserve">на електронному майданчику системи </w:t>
      </w:r>
      <w:proofErr w:type="spellStart"/>
      <w:r w:rsidRPr="00964675">
        <w:rPr>
          <w:rFonts w:ascii="Times New Roman" w:hAnsi="Times New Roman" w:cs="Times New Roman"/>
          <w:sz w:val="28"/>
          <w:szCs w:val="28"/>
        </w:rPr>
        <w:t>ProZorro</w:t>
      </w:r>
      <w:proofErr w:type="spellEnd"/>
      <w:r w:rsidRPr="00964675">
        <w:rPr>
          <w:rFonts w:ascii="Times New Roman" w:hAnsi="Times New Roman" w:cs="Times New Roman"/>
          <w:sz w:val="28"/>
          <w:szCs w:val="28"/>
        </w:rPr>
        <w:t>.</w:t>
      </w:r>
    </w:p>
    <w:p w:rsidR="00964675" w:rsidRPr="00964675" w:rsidRDefault="001F733D" w:rsidP="00964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295DC3">
        <w:rPr>
          <w:rFonts w:ascii="Times New Roman" w:hAnsi="Times New Roman" w:cs="Times New Roman"/>
          <w:sz w:val="28"/>
          <w:szCs w:val="28"/>
        </w:rPr>
        <w:t xml:space="preserve"> постійній основі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5DC3">
        <w:rPr>
          <w:rFonts w:ascii="Times New Roman" w:hAnsi="Times New Roman" w:cs="Times New Roman"/>
          <w:sz w:val="28"/>
          <w:szCs w:val="28"/>
        </w:rPr>
        <w:t>підприємстві проводиться робота</w:t>
      </w:r>
      <w:r>
        <w:rPr>
          <w:rFonts w:ascii="Times New Roman" w:hAnsi="Times New Roman" w:cs="Times New Roman"/>
          <w:sz w:val="28"/>
          <w:szCs w:val="28"/>
        </w:rPr>
        <w:t xml:space="preserve"> щодо  реалізації запланованих </w:t>
      </w:r>
      <w:r w:rsidR="00964675" w:rsidRPr="00964675">
        <w:rPr>
          <w:rFonts w:ascii="Times New Roman" w:hAnsi="Times New Roman" w:cs="Times New Roman"/>
          <w:sz w:val="28"/>
          <w:szCs w:val="28"/>
        </w:rPr>
        <w:t>заходів з вдосконалення безпеки умов праці,</w:t>
      </w:r>
      <w:r>
        <w:rPr>
          <w:rFonts w:ascii="Times New Roman" w:hAnsi="Times New Roman" w:cs="Times New Roman"/>
          <w:sz w:val="28"/>
          <w:szCs w:val="28"/>
        </w:rPr>
        <w:t xml:space="preserve"> навчання та підвищення кваліфі</w:t>
      </w:r>
      <w:r w:rsidR="00964675" w:rsidRPr="00964675">
        <w:rPr>
          <w:rFonts w:ascii="Times New Roman" w:hAnsi="Times New Roman" w:cs="Times New Roman"/>
          <w:sz w:val="28"/>
          <w:szCs w:val="28"/>
        </w:rPr>
        <w:t>кації робітників нашого підприємства.</w:t>
      </w:r>
    </w:p>
    <w:p w:rsidR="00A0713D" w:rsidRPr="00964675" w:rsidRDefault="001F733D" w:rsidP="00964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 впевнені</w:t>
      </w:r>
      <w:r w:rsidR="00964675" w:rsidRPr="00964675">
        <w:rPr>
          <w:rFonts w:ascii="Times New Roman" w:hAnsi="Times New Roman" w:cs="Times New Roman"/>
          <w:sz w:val="28"/>
          <w:szCs w:val="28"/>
        </w:rPr>
        <w:t xml:space="preserve">, що наше чітке бачення перспектив розвитку, </w:t>
      </w:r>
      <w:r>
        <w:rPr>
          <w:rFonts w:ascii="Times New Roman" w:hAnsi="Times New Roman" w:cs="Times New Roman"/>
          <w:sz w:val="28"/>
          <w:szCs w:val="28"/>
        </w:rPr>
        <w:t>профе</w:t>
      </w:r>
      <w:r w:rsidR="00964675" w:rsidRPr="00964675">
        <w:rPr>
          <w:rFonts w:ascii="Times New Roman" w:hAnsi="Times New Roman" w:cs="Times New Roman"/>
          <w:sz w:val="28"/>
          <w:szCs w:val="28"/>
        </w:rPr>
        <w:t>сіоналізм та самовіддача трудового колектив</w:t>
      </w:r>
      <w:r>
        <w:rPr>
          <w:rFonts w:ascii="Times New Roman" w:hAnsi="Times New Roman" w:cs="Times New Roman"/>
          <w:sz w:val="28"/>
          <w:szCs w:val="28"/>
        </w:rPr>
        <w:t xml:space="preserve">у, здатність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оперативно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реагува</w:t>
      </w:r>
      <w:r w:rsidR="00964675" w:rsidRPr="00964675">
        <w:rPr>
          <w:rFonts w:ascii="Times New Roman" w:hAnsi="Times New Roman" w:cs="Times New Roman"/>
          <w:sz w:val="28"/>
          <w:szCs w:val="28"/>
        </w:rPr>
        <w:t>ти на підвищені вимоги сьогодення та щоденна праця на результат дозволять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4675" w:rsidRPr="00964675">
        <w:rPr>
          <w:rFonts w:ascii="Times New Roman" w:hAnsi="Times New Roman" w:cs="Times New Roman"/>
          <w:sz w:val="28"/>
          <w:szCs w:val="28"/>
        </w:rPr>
        <w:t xml:space="preserve"> комунальному </w:t>
      </w:r>
      <w:r>
        <w:rPr>
          <w:rFonts w:ascii="Times New Roman" w:hAnsi="Times New Roman" w:cs="Times New Roman"/>
          <w:sz w:val="28"/>
          <w:szCs w:val="28"/>
        </w:rPr>
        <w:t>підприємству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Теплоенерго</w:t>
      </w:r>
      <w:proofErr w:type="spellEnd"/>
      <w:r w:rsidR="00964675" w:rsidRPr="00964675">
        <w:rPr>
          <w:rFonts w:ascii="Times New Roman" w:hAnsi="Times New Roman" w:cs="Times New Roman"/>
          <w:sz w:val="28"/>
          <w:szCs w:val="28"/>
        </w:rPr>
        <w:t>» і надалі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4675" w:rsidRPr="00964675">
        <w:rPr>
          <w:rFonts w:ascii="Times New Roman" w:hAnsi="Times New Roman" w:cs="Times New Roman"/>
          <w:sz w:val="28"/>
          <w:szCs w:val="28"/>
        </w:rPr>
        <w:t xml:space="preserve">впевнено рухатися шляхом максимального задоволення вимог наших споживачів </w:t>
      </w:r>
    </w:p>
    <w:p w:rsidR="00935903" w:rsidRDefault="00935903" w:rsidP="0096467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0713D" w:rsidRPr="0011771E" w:rsidRDefault="0011771E" w:rsidP="0096467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1771E">
        <w:rPr>
          <w:rFonts w:ascii="Times New Roman" w:hAnsi="Times New Roman" w:cs="Times New Roman"/>
          <w:b/>
          <w:sz w:val="28"/>
          <w:szCs w:val="28"/>
        </w:rPr>
        <w:t>Віталій ОДНОШЕВНИЙ</w:t>
      </w:r>
      <w:r w:rsidR="00A0713D" w:rsidRPr="0011771E">
        <w:rPr>
          <w:rFonts w:ascii="Times New Roman" w:hAnsi="Times New Roman" w:cs="Times New Roman"/>
          <w:b/>
          <w:sz w:val="28"/>
          <w:szCs w:val="28"/>
        </w:rPr>
        <w:t>,</w:t>
      </w:r>
    </w:p>
    <w:p w:rsidR="00A0713D" w:rsidRDefault="00A0713D" w:rsidP="0096467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1771E">
        <w:rPr>
          <w:rFonts w:ascii="Times New Roman" w:hAnsi="Times New Roman" w:cs="Times New Roman"/>
          <w:b/>
          <w:sz w:val="28"/>
          <w:szCs w:val="28"/>
        </w:rPr>
        <w:t>директор</w:t>
      </w:r>
    </w:p>
    <w:p w:rsidR="00935903" w:rsidRDefault="00935903" w:rsidP="001954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3553" w:rsidRDefault="00973553" w:rsidP="001954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3553" w:rsidRDefault="00973553" w:rsidP="001954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771E" w:rsidRPr="00935903" w:rsidRDefault="0011771E" w:rsidP="001954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771E">
        <w:rPr>
          <w:rFonts w:ascii="Times New Roman" w:hAnsi="Times New Roman" w:cs="Times New Roman"/>
          <w:b/>
          <w:sz w:val="28"/>
          <w:szCs w:val="28"/>
        </w:rPr>
        <w:t>І. ЗАГАЛЬНА ХАРАКТЕРИСТИКА ПІДПРИЄМСТВА</w:t>
      </w:r>
      <w:r w:rsidR="0062036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1771E" w:rsidRDefault="0011771E" w:rsidP="0019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1771E" w:rsidRDefault="001C1EB6" w:rsidP="0019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1771E">
        <w:rPr>
          <w:rFonts w:ascii="Times New Roman" w:hAnsi="Times New Roman" w:cs="Times New Roman"/>
          <w:sz w:val="28"/>
          <w:szCs w:val="28"/>
        </w:rPr>
        <w:t>Короткі відомості</w:t>
      </w:r>
    </w:p>
    <w:p w:rsidR="0011771E" w:rsidRDefault="0011771E" w:rsidP="0019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1771E" w:rsidRPr="0011771E" w:rsidRDefault="0011771E" w:rsidP="001954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Кременчуцьке комунальне підприємство теплового господарства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Теплоенерго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935903">
        <w:rPr>
          <w:rFonts w:ascii="Times New Roman" w:hAnsi="Times New Roman" w:cs="Times New Roman"/>
          <w:sz w:val="28"/>
          <w:szCs w:val="28"/>
        </w:rPr>
        <w:t>створене в 2001 році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5903">
        <w:rPr>
          <w:rFonts w:ascii="Times New Roman" w:hAnsi="Times New Roman" w:cs="Times New Roman"/>
          <w:sz w:val="28"/>
          <w:szCs w:val="28"/>
        </w:rPr>
        <w:t>у вигляді</w:t>
      </w:r>
      <w:r w:rsidR="00A810AD">
        <w:rPr>
          <w:rFonts w:ascii="Times New Roman" w:hAnsi="Times New Roman" w:cs="Times New Roman"/>
          <w:sz w:val="28"/>
          <w:szCs w:val="28"/>
        </w:rPr>
        <w:t xml:space="preserve"> спільної (комунальної) власності територіальної громади м. Кременчука й перебуває в оперативному підпорядкуванні Департаменту житлово-комунального господарства Кременчуцької міської ради.</w:t>
      </w:r>
    </w:p>
    <w:p w:rsidR="00DE4DDA" w:rsidRPr="00DE4DDA" w:rsidRDefault="00DE4DDA" w:rsidP="001954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DDA">
        <w:rPr>
          <w:rFonts w:ascii="Times New Roman" w:hAnsi="Times New Roman" w:cs="Times New Roman"/>
          <w:sz w:val="28"/>
          <w:szCs w:val="28"/>
        </w:rPr>
        <w:t xml:space="preserve">Підприємство є потужним комплексом, що </w:t>
      </w:r>
      <w:r w:rsidR="00935903">
        <w:rPr>
          <w:rFonts w:ascii="Times New Roman" w:hAnsi="Times New Roman" w:cs="Times New Roman"/>
          <w:sz w:val="28"/>
          <w:szCs w:val="28"/>
        </w:rPr>
        <w:t xml:space="preserve">виробляє, транспортує та постачає теплову енергію, </w:t>
      </w:r>
      <w:r w:rsidRPr="00DE4DDA">
        <w:rPr>
          <w:rFonts w:ascii="Times New Roman" w:hAnsi="Times New Roman" w:cs="Times New Roman"/>
          <w:sz w:val="28"/>
          <w:szCs w:val="28"/>
        </w:rPr>
        <w:t xml:space="preserve">надає послуги з централізованого опалення та </w:t>
      </w:r>
      <w:r w:rsidR="00935903">
        <w:rPr>
          <w:rFonts w:ascii="Times New Roman" w:hAnsi="Times New Roman" w:cs="Times New Roman"/>
          <w:sz w:val="28"/>
          <w:szCs w:val="28"/>
        </w:rPr>
        <w:t>централізованого постачання гарячої води</w:t>
      </w:r>
      <w:r w:rsidRPr="00DE4DDA">
        <w:rPr>
          <w:rFonts w:ascii="Times New Roman" w:hAnsi="Times New Roman" w:cs="Times New Roman"/>
          <w:sz w:val="28"/>
          <w:szCs w:val="28"/>
        </w:rPr>
        <w:t xml:space="preserve"> населенню, об’єктам соц</w:t>
      </w:r>
      <w:r w:rsidR="00935903">
        <w:rPr>
          <w:rFonts w:ascii="Times New Roman" w:hAnsi="Times New Roman" w:cs="Times New Roman"/>
          <w:sz w:val="28"/>
          <w:szCs w:val="28"/>
        </w:rPr>
        <w:t xml:space="preserve">іальної </w:t>
      </w:r>
      <w:r w:rsidRPr="00DE4DDA">
        <w:rPr>
          <w:rFonts w:ascii="Times New Roman" w:hAnsi="Times New Roman" w:cs="Times New Roman"/>
          <w:sz w:val="28"/>
          <w:szCs w:val="28"/>
        </w:rPr>
        <w:t>сфери та іншим споживачам</w:t>
      </w:r>
      <w:r w:rsidR="00935903">
        <w:rPr>
          <w:rFonts w:ascii="Times New Roman" w:hAnsi="Times New Roman" w:cs="Times New Roman"/>
          <w:sz w:val="28"/>
          <w:szCs w:val="28"/>
        </w:rPr>
        <w:t>, з</w:t>
      </w:r>
      <w:r w:rsidRPr="00DE4DDA">
        <w:rPr>
          <w:rFonts w:ascii="Times New Roman" w:hAnsi="Times New Roman" w:cs="Times New Roman"/>
          <w:sz w:val="28"/>
          <w:szCs w:val="28"/>
        </w:rPr>
        <w:t>абезпечує стабільне функціонування та експлуатацію котельних, теплових пунктів, та теплових мереж, проводить поточний ремонт та капітальний ремонти об’єктів теплового господарства.</w:t>
      </w:r>
    </w:p>
    <w:p w:rsidR="00DE4DDA" w:rsidRPr="00DE4DDA" w:rsidRDefault="00DE4DDA" w:rsidP="001F73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DDA">
        <w:rPr>
          <w:rFonts w:ascii="Times New Roman" w:hAnsi="Times New Roman" w:cs="Times New Roman"/>
          <w:sz w:val="28"/>
          <w:szCs w:val="28"/>
        </w:rPr>
        <w:t>На балансі КП "</w:t>
      </w:r>
      <w:proofErr w:type="spellStart"/>
      <w:r w:rsidRPr="00DE4DDA">
        <w:rPr>
          <w:rFonts w:ascii="Times New Roman" w:hAnsi="Times New Roman" w:cs="Times New Roman"/>
          <w:sz w:val="28"/>
          <w:szCs w:val="28"/>
        </w:rPr>
        <w:t>Теплоенерго</w:t>
      </w:r>
      <w:proofErr w:type="spellEnd"/>
      <w:r w:rsidRPr="00DE4DDA">
        <w:rPr>
          <w:rFonts w:ascii="Times New Roman" w:hAnsi="Times New Roman" w:cs="Times New Roman"/>
          <w:sz w:val="28"/>
          <w:szCs w:val="28"/>
        </w:rPr>
        <w:t xml:space="preserve">" </w:t>
      </w:r>
      <w:r w:rsidR="001F733D">
        <w:rPr>
          <w:rFonts w:ascii="Times New Roman" w:hAnsi="Times New Roman" w:cs="Times New Roman"/>
          <w:sz w:val="28"/>
          <w:szCs w:val="28"/>
        </w:rPr>
        <w:t xml:space="preserve"> </w:t>
      </w:r>
      <w:r w:rsidR="00935903">
        <w:rPr>
          <w:rFonts w:ascii="Times New Roman" w:hAnsi="Times New Roman" w:cs="Times New Roman"/>
          <w:sz w:val="28"/>
          <w:szCs w:val="28"/>
        </w:rPr>
        <w:t xml:space="preserve">знаходиться </w:t>
      </w:r>
      <w:r w:rsidRPr="00DE4DDA">
        <w:rPr>
          <w:rFonts w:ascii="Times New Roman" w:hAnsi="Times New Roman" w:cs="Times New Roman"/>
          <w:sz w:val="28"/>
          <w:szCs w:val="28"/>
        </w:rPr>
        <w:t>18 котельних, в тому числі 2 дахові, 46 центральних теплових пунктів,</w:t>
      </w:r>
      <w:r w:rsidR="00195413">
        <w:rPr>
          <w:rFonts w:ascii="Times New Roman" w:hAnsi="Times New Roman" w:cs="Times New Roman"/>
          <w:sz w:val="28"/>
          <w:szCs w:val="28"/>
        </w:rPr>
        <w:t xml:space="preserve"> </w:t>
      </w:r>
      <w:r w:rsidRPr="00DE4DDA">
        <w:rPr>
          <w:rFonts w:ascii="Times New Roman" w:hAnsi="Times New Roman" w:cs="Times New Roman"/>
          <w:sz w:val="28"/>
          <w:szCs w:val="28"/>
        </w:rPr>
        <w:t>217,641 км трубопроводів центрального опалення та гарячого водопост</w:t>
      </w:r>
      <w:r w:rsidR="001F733D">
        <w:rPr>
          <w:rFonts w:ascii="Times New Roman" w:hAnsi="Times New Roman" w:cs="Times New Roman"/>
          <w:sz w:val="28"/>
          <w:szCs w:val="28"/>
        </w:rPr>
        <w:t>ачання в 2-х трубному вимірі</w:t>
      </w:r>
      <w:r w:rsidRPr="00DE4DDA">
        <w:rPr>
          <w:rFonts w:ascii="Times New Roman" w:hAnsi="Times New Roman" w:cs="Times New Roman"/>
          <w:sz w:val="28"/>
          <w:szCs w:val="28"/>
        </w:rPr>
        <w:t>.</w:t>
      </w:r>
    </w:p>
    <w:p w:rsidR="00DE4DDA" w:rsidRPr="00DE4DDA" w:rsidRDefault="00DE4DDA" w:rsidP="001F73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DDA">
        <w:rPr>
          <w:rFonts w:ascii="Times New Roman" w:hAnsi="Times New Roman" w:cs="Times New Roman"/>
          <w:sz w:val="28"/>
          <w:szCs w:val="28"/>
        </w:rPr>
        <w:t>На 18 котельних встановлено 42 котли різної теплопродуктивності. Всі котельні працюють на природному газі.</w:t>
      </w:r>
      <w:r w:rsidR="001C1EB6">
        <w:rPr>
          <w:rFonts w:ascii="Times New Roman" w:hAnsi="Times New Roman" w:cs="Times New Roman"/>
          <w:sz w:val="28"/>
          <w:szCs w:val="28"/>
        </w:rPr>
        <w:t xml:space="preserve"> </w:t>
      </w:r>
      <w:r w:rsidRPr="00DE4DDA">
        <w:rPr>
          <w:rFonts w:ascii="Times New Roman" w:hAnsi="Times New Roman" w:cs="Times New Roman"/>
          <w:sz w:val="28"/>
          <w:szCs w:val="28"/>
        </w:rPr>
        <w:t xml:space="preserve">Встановлена потужність </w:t>
      </w:r>
      <w:proofErr w:type="spellStart"/>
      <w:r w:rsidRPr="00DE4DDA">
        <w:rPr>
          <w:rFonts w:ascii="Times New Roman" w:hAnsi="Times New Roman" w:cs="Times New Roman"/>
          <w:sz w:val="28"/>
          <w:szCs w:val="28"/>
        </w:rPr>
        <w:t>котелень</w:t>
      </w:r>
      <w:proofErr w:type="spellEnd"/>
      <w:r w:rsidRPr="00DE4DDA">
        <w:rPr>
          <w:rFonts w:ascii="Times New Roman" w:hAnsi="Times New Roman" w:cs="Times New Roman"/>
          <w:sz w:val="28"/>
          <w:szCs w:val="28"/>
        </w:rPr>
        <w:t xml:space="preserve"> – 84,222 </w:t>
      </w:r>
      <w:proofErr w:type="spellStart"/>
      <w:r w:rsidRPr="00DE4DDA">
        <w:rPr>
          <w:rFonts w:ascii="Times New Roman" w:hAnsi="Times New Roman" w:cs="Times New Roman"/>
          <w:sz w:val="28"/>
          <w:szCs w:val="28"/>
        </w:rPr>
        <w:t>Гкал</w:t>
      </w:r>
      <w:proofErr w:type="spellEnd"/>
      <w:r w:rsidRPr="00DE4DDA">
        <w:rPr>
          <w:rFonts w:ascii="Times New Roman" w:hAnsi="Times New Roman" w:cs="Times New Roman"/>
          <w:sz w:val="28"/>
          <w:szCs w:val="28"/>
        </w:rPr>
        <w:t xml:space="preserve">/год. 12 </w:t>
      </w:r>
      <w:proofErr w:type="spellStart"/>
      <w:r w:rsidRPr="00DE4DDA">
        <w:rPr>
          <w:rFonts w:ascii="Times New Roman" w:hAnsi="Times New Roman" w:cs="Times New Roman"/>
          <w:sz w:val="28"/>
          <w:szCs w:val="28"/>
        </w:rPr>
        <w:t>котелень</w:t>
      </w:r>
      <w:proofErr w:type="spellEnd"/>
      <w:r w:rsidRPr="00DE4DDA">
        <w:rPr>
          <w:rFonts w:ascii="Times New Roman" w:hAnsi="Times New Roman" w:cs="Times New Roman"/>
          <w:sz w:val="28"/>
          <w:szCs w:val="28"/>
        </w:rPr>
        <w:t xml:space="preserve"> надають послугу тільки в опалювальний сезон, 6 </w:t>
      </w:r>
      <w:proofErr w:type="spellStart"/>
      <w:r w:rsidRPr="00DE4DDA">
        <w:rPr>
          <w:rFonts w:ascii="Times New Roman" w:hAnsi="Times New Roman" w:cs="Times New Roman"/>
          <w:sz w:val="28"/>
          <w:szCs w:val="28"/>
        </w:rPr>
        <w:t>котелень</w:t>
      </w:r>
      <w:proofErr w:type="spellEnd"/>
      <w:r w:rsidRPr="00DE4DDA">
        <w:rPr>
          <w:rFonts w:ascii="Times New Roman" w:hAnsi="Times New Roman" w:cs="Times New Roman"/>
          <w:sz w:val="28"/>
          <w:szCs w:val="28"/>
        </w:rPr>
        <w:t xml:space="preserve"> працюють протягом року.</w:t>
      </w:r>
    </w:p>
    <w:p w:rsidR="00DE4DDA" w:rsidRPr="00DE4DDA" w:rsidRDefault="00935903" w:rsidP="001954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шести котельних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водо</w:t>
      </w:r>
      <w:r w:rsidR="00DE4DDA" w:rsidRPr="00DE4DDA">
        <w:rPr>
          <w:rFonts w:ascii="Times New Roman" w:hAnsi="Times New Roman" w:cs="Times New Roman"/>
          <w:sz w:val="28"/>
          <w:szCs w:val="28"/>
        </w:rPr>
        <w:t>підігрівальні</w:t>
      </w:r>
      <w:proofErr w:type="spellEnd"/>
      <w:r w:rsidR="00DE4DDA" w:rsidRPr="00DE4DDA">
        <w:rPr>
          <w:rFonts w:ascii="Times New Roman" w:hAnsi="Times New Roman" w:cs="Times New Roman"/>
          <w:sz w:val="28"/>
          <w:szCs w:val="28"/>
        </w:rPr>
        <w:t xml:space="preserve"> установки змонтовані, безпосередньо в котельних:</w:t>
      </w:r>
    </w:p>
    <w:p w:rsidR="00DE4DDA" w:rsidRPr="00DE4DDA" w:rsidRDefault="00DE4DDA" w:rsidP="0019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DDA">
        <w:rPr>
          <w:rFonts w:ascii="Times New Roman" w:hAnsi="Times New Roman" w:cs="Times New Roman"/>
          <w:sz w:val="28"/>
          <w:szCs w:val="28"/>
        </w:rPr>
        <w:t>-          вул. Мічуріна, буд. 89А;</w:t>
      </w:r>
    </w:p>
    <w:p w:rsidR="00DE4DDA" w:rsidRPr="00DE4DDA" w:rsidRDefault="00DE4DDA" w:rsidP="0019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DDA">
        <w:rPr>
          <w:rFonts w:ascii="Times New Roman" w:hAnsi="Times New Roman" w:cs="Times New Roman"/>
          <w:sz w:val="28"/>
          <w:szCs w:val="28"/>
        </w:rPr>
        <w:t>-          вул. Івана Приходька, буд. 101А;</w:t>
      </w:r>
    </w:p>
    <w:p w:rsidR="00DE4DDA" w:rsidRPr="00DE4DDA" w:rsidRDefault="00DE4DDA" w:rsidP="0019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DDA">
        <w:rPr>
          <w:rFonts w:ascii="Times New Roman" w:hAnsi="Times New Roman" w:cs="Times New Roman"/>
          <w:sz w:val="28"/>
          <w:szCs w:val="28"/>
        </w:rPr>
        <w:t>-          вул. Європейська, буд. 68А (дахова);</w:t>
      </w:r>
    </w:p>
    <w:p w:rsidR="00DE4DDA" w:rsidRPr="00DE4DDA" w:rsidRDefault="00DE4DDA" w:rsidP="0019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DDA">
        <w:rPr>
          <w:rFonts w:ascii="Times New Roman" w:hAnsi="Times New Roman" w:cs="Times New Roman"/>
          <w:sz w:val="28"/>
          <w:szCs w:val="28"/>
        </w:rPr>
        <w:t>-          вул. квартал 101, буд. 10Б (дахова);</w:t>
      </w:r>
    </w:p>
    <w:p w:rsidR="00DE4DDA" w:rsidRPr="00DE4DDA" w:rsidRDefault="00DE4DDA" w:rsidP="0019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DDA">
        <w:rPr>
          <w:rFonts w:ascii="Times New Roman" w:hAnsi="Times New Roman" w:cs="Times New Roman"/>
          <w:sz w:val="28"/>
          <w:szCs w:val="28"/>
        </w:rPr>
        <w:t xml:space="preserve">-          вул. Майора </w:t>
      </w:r>
      <w:proofErr w:type="spellStart"/>
      <w:r w:rsidRPr="00DE4DDA">
        <w:rPr>
          <w:rFonts w:ascii="Times New Roman" w:hAnsi="Times New Roman" w:cs="Times New Roman"/>
          <w:sz w:val="28"/>
          <w:szCs w:val="28"/>
        </w:rPr>
        <w:t>Борищака</w:t>
      </w:r>
      <w:proofErr w:type="spellEnd"/>
      <w:r w:rsidRPr="00DE4DDA">
        <w:rPr>
          <w:rFonts w:ascii="Times New Roman" w:hAnsi="Times New Roman" w:cs="Times New Roman"/>
          <w:sz w:val="28"/>
          <w:szCs w:val="28"/>
        </w:rPr>
        <w:t xml:space="preserve"> 20/3.</w:t>
      </w:r>
    </w:p>
    <w:p w:rsidR="00DE4DDA" w:rsidRPr="00DE4DDA" w:rsidRDefault="00DE4DDA" w:rsidP="001954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DDA">
        <w:rPr>
          <w:rFonts w:ascii="Times New Roman" w:hAnsi="Times New Roman" w:cs="Times New Roman"/>
          <w:sz w:val="28"/>
          <w:szCs w:val="28"/>
        </w:rPr>
        <w:t xml:space="preserve">На котельні кварталу 17 </w:t>
      </w:r>
      <w:r w:rsidR="003F6B4F">
        <w:rPr>
          <w:rFonts w:ascii="Times New Roman" w:hAnsi="Times New Roman" w:cs="Times New Roman"/>
          <w:sz w:val="28"/>
          <w:szCs w:val="28"/>
        </w:rPr>
        <w:t xml:space="preserve">по </w:t>
      </w:r>
      <w:r w:rsidRPr="00DE4DDA">
        <w:rPr>
          <w:rFonts w:ascii="Times New Roman" w:hAnsi="Times New Roman" w:cs="Times New Roman"/>
          <w:sz w:val="28"/>
          <w:szCs w:val="28"/>
        </w:rPr>
        <w:t>вул. Івана Приходько 30А схе</w:t>
      </w:r>
      <w:r w:rsidR="001F733D">
        <w:rPr>
          <w:rFonts w:ascii="Times New Roman" w:hAnsi="Times New Roman" w:cs="Times New Roman"/>
          <w:sz w:val="28"/>
          <w:szCs w:val="28"/>
        </w:rPr>
        <w:t>ма теплопостачання кварталу дво</w:t>
      </w:r>
      <w:r w:rsidRPr="00DE4DDA">
        <w:rPr>
          <w:rFonts w:ascii="Times New Roman" w:hAnsi="Times New Roman" w:cs="Times New Roman"/>
          <w:sz w:val="28"/>
          <w:szCs w:val="28"/>
        </w:rPr>
        <w:t>трубна. Гаряче водопостачання кварталу поступає від індивідуальних теплових пунктів, які розташовані в підвалах житлових будинків.</w:t>
      </w:r>
    </w:p>
    <w:p w:rsidR="00DE4DDA" w:rsidRPr="00DE4DDA" w:rsidRDefault="00DE4DDA" w:rsidP="001954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DDA">
        <w:rPr>
          <w:rFonts w:ascii="Times New Roman" w:hAnsi="Times New Roman" w:cs="Times New Roman"/>
          <w:sz w:val="28"/>
          <w:szCs w:val="28"/>
        </w:rPr>
        <w:t>Індивідуальні теплові пункти знаходяться на балансі житлових організацій і обслуговуються їх персоналом.</w:t>
      </w:r>
    </w:p>
    <w:p w:rsidR="00DE4DDA" w:rsidRDefault="00E82FC3" w:rsidP="0019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ru-RU" w:eastAsia="ru-RU"/>
        </w:rPr>
        <w:lastRenderedPageBreak/>
        <w:drawing>
          <wp:inline distT="0" distB="0" distL="0" distR="0" wp14:anchorId="04C64997" wp14:editId="4601CE51">
            <wp:extent cx="6120130" cy="4841655"/>
            <wp:effectExtent l="0" t="0" r="13970" b="1651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A068D" w:rsidRPr="00DE4DDA" w:rsidRDefault="007A068D" w:rsidP="0019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4DDA" w:rsidRPr="00DE4DDA" w:rsidRDefault="00DE4DDA" w:rsidP="001954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DDA">
        <w:rPr>
          <w:rFonts w:ascii="Times New Roman" w:hAnsi="Times New Roman" w:cs="Times New Roman"/>
          <w:sz w:val="28"/>
          <w:szCs w:val="28"/>
        </w:rPr>
        <w:t xml:space="preserve">Основне та допоміжне обладнання </w:t>
      </w:r>
      <w:proofErr w:type="spellStart"/>
      <w:r w:rsidRPr="00DE4DDA">
        <w:rPr>
          <w:rFonts w:ascii="Times New Roman" w:hAnsi="Times New Roman" w:cs="Times New Roman"/>
          <w:sz w:val="28"/>
          <w:szCs w:val="28"/>
        </w:rPr>
        <w:t>котелень</w:t>
      </w:r>
      <w:proofErr w:type="spellEnd"/>
      <w:r w:rsidRPr="00DE4DDA">
        <w:rPr>
          <w:rFonts w:ascii="Times New Roman" w:hAnsi="Times New Roman" w:cs="Times New Roman"/>
          <w:sz w:val="28"/>
          <w:szCs w:val="28"/>
        </w:rPr>
        <w:t xml:space="preserve"> </w:t>
      </w:r>
      <w:r w:rsidR="001F733D">
        <w:rPr>
          <w:rFonts w:ascii="Times New Roman" w:hAnsi="Times New Roman" w:cs="Times New Roman"/>
          <w:sz w:val="28"/>
          <w:szCs w:val="28"/>
        </w:rPr>
        <w:t>знаходиться у робочому</w:t>
      </w:r>
      <w:r w:rsidRPr="00DE4DDA">
        <w:rPr>
          <w:rFonts w:ascii="Times New Roman" w:hAnsi="Times New Roman" w:cs="Times New Roman"/>
          <w:sz w:val="28"/>
          <w:szCs w:val="28"/>
        </w:rPr>
        <w:t xml:space="preserve"> стані. За останні 8 років на підприємстві повністю замінені котли НІІСТУ-5 на котли імпортного виробництва з К.К.Д. котлів 92-94%.</w:t>
      </w:r>
    </w:p>
    <w:p w:rsidR="00DE4DDA" w:rsidRPr="00DE4DDA" w:rsidRDefault="00DE4DDA" w:rsidP="001954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DDA">
        <w:rPr>
          <w:rFonts w:ascii="Times New Roman" w:hAnsi="Times New Roman" w:cs="Times New Roman"/>
          <w:sz w:val="28"/>
          <w:szCs w:val="28"/>
        </w:rPr>
        <w:t>Крім реалізації теплової енергії, виробленої на власних джерелах, підприємство закуповує теплову енергію вироблену на ТЕЦ ПАТ "</w:t>
      </w:r>
      <w:proofErr w:type="spellStart"/>
      <w:r w:rsidRPr="00DE4DDA">
        <w:rPr>
          <w:rFonts w:ascii="Times New Roman" w:hAnsi="Times New Roman" w:cs="Times New Roman"/>
          <w:sz w:val="28"/>
          <w:szCs w:val="28"/>
        </w:rPr>
        <w:t>Крюківський</w:t>
      </w:r>
      <w:proofErr w:type="spellEnd"/>
      <w:r w:rsidRPr="00DE4DDA">
        <w:rPr>
          <w:rFonts w:ascii="Times New Roman" w:hAnsi="Times New Roman" w:cs="Times New Roman"/>
          <w:sz w:val="28"/>
          <w:szCs w:val="28"/>
        </w:rPr>
        <w:t xml:space="preserve"> вагонобудівний завод" (далі ПАТ "КВБЗ") та реалізовує її споживачам для потреб опалення та гарячого водопостачання на правому березі Кременчука</w:t>
      </w:r>
      <w:r w:rsidR="001200AD">
        <w:rPr>
          <w:rFonts w:ascii="Times New Roman" w:hAnsi="Times New Roman" w:cs="Times New Roman"/>
          <w:sz w:val="28"/>
          <w:szCs w:val="28"/>
        </w:rPr>
        <w:t xml:space="preserve"> мікрорайону </w:t>
      </w:r>
      <w:proofErr w:type="spellStart"/>
      <w:r w:rsidR="001200AD">
        <w:rPr>
          <w:rFonts w:ascii="Times New Roman" w:hAnsi="Times New Roman" w:cs="Times New Roman"/>
          <w:sz w:val="28"/>
          <w:szCs w:val="28"/>
        </w:rPr>
        <w:t>Раківка</w:t>
      </w:r>
      <w:proofErr w:type="spellEnd"/>
      <w:r w:rsidRPr="00DE4DDA">
        <w:rPr>
          <w:rFonts w:ascii="Times New Roman" w:hAnsi="Times New Roman" w:cs="Times New Roman"/>
          <w:sz w:val="28"/>
          <w:szCs w:val="28"/>
        </w:rPr>
        <w:t>.</w:t>
      </w:r>
    </w:p>
    <w:p w:rsidR="00DE4DDA" w:rsidRPr="00DE4DDA" w:rsidRDefault="00DE4DDA" w:rsidP="009359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DDA">
        <w:rPr>
          <w:rFonts w:ascii="Times New Roman" w:hAnsi="Times New Roman" w:cs="Times New Roman"/>
          <w:sz w:val="28"/>
          <w:szCs w:val="28"/>
        </w:rPr>
        <w:t>Транспор</w:t>
      </w:r>
      <w:r w:rsidR="00CB575D">
        <w:rPr>
          <w:rFonts w:ascii="Times New Roman" w:hAnsi="Times New Roman" w:cs="Times New Roman"/>
          <w:sz w:val="28"/>
          <w:szCs w:val="28"/>
        </w:rPr>
        <w:t xml:space="preserve">тування теплової енергії від </w:t>
      </w:r>
      <w:r w:rsidRPr="00DE4DDA">
        <w:rPr>
          <w:rFonts w:ascii="Times New Roman" w:hAnsi="Times New Roman" w:cs="Times New Roman"/>
          <w:sz w:val="28"/>
          <w:szCs w:val="28"/>
        </w:rPr>
        <w:t>ПАТ "КВБЗ" здійснюється по магістральних та розподільчих теплових мережах, які знаходяться на балансі КП "</w:t>
      </w:r>
      <w:proofErr w:type="spellStart"/>
      <w:r w:rsidRPr="00DE4DDA">
        <w:rPr>
          <w:rFonts w:ascii="Times New Roman" w:hAnsi="Times New Roman" w:cs="Times New Roman"/>
          <w:sz w:val="28"/>
          <w:szCs w:val="28"/>
        </w:rPr>
        <w:t>Теплоенерго</w:t>
      </w:r>
      <w:proofErr w:type="spellEnd"/>
      <w:r w:rsidRPr="00DE4DDA">
        <w:rPr>
          <w:rFonts w:ascii="Times New Roman" w:hAnsi="Times New Roman" w:cs="Times New Roman"/>
          <w:sz w:val="28"/>
          <w:szCs w:val="28"/>
        </w:rPr>
        <w:t xml:space="preserve">". Гаряче водопостачання в мікрорайоні </w:t>
      </w:r>
      <w:proofErr w:type="spellStart"/>
      <w:r w:rsidR="003F6B4F">
        <w:rPr>
          <w:rFonts w:ascii="Times New Roman" w:hAnsi="Times New Roman" w:cs="Times New Roman"/>
          <w:sz w:val="28"/>
          <w:szCs w:val="28"/>
        </w:rPr>
        <w:t>Раківка</w:t>
      </w:r>
      <w:proofErr w:type="spellEnd"/>
      <w:r w:rsidR="003F6B4F">
        <w:rPr>
          <w:rFonts w:ascii="Times New Roman" w:hAnsi="Times New Roman" w:cs="Times New Roman"/>
          <w:sz w:val="28"/>
          <w:szCs w:val="28"/>
        </w:rPr>
        <w:t xml:space="preserve"> здійснюється від 5-ти ЦТП, які знаходяться</w:t>
      </w:r>
      <w:r w:rsidRPr="00DE4DDA">
        <w:rPr>
          <w:rFonts w:ascii="Times New Roman" w:hAnsi="Times New Roman" w:cs="Times New Roman"/>
          <w:sz w:val="28"/>
          <w:szCs w:val="28"/>
        </w:rPr>
        <w:t xml:space="preserve"> на балансі підприємства.</w:t>
      </w:r>
    </w:p>
    <w:p w:rsidR="0011771E" w:rsidRDefault="00DE4DDA" w:rsidP="001954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DDA">
        <w:rPr>
          <w:rFonts w:ascii="Times New Roman" w:hAnsi="Times New Roman" w:cs="Times New Roman"/>
          <w:sz w:val="28"/>
          <w:szCs w:val="28"/>
        </w:rPr>
        <w:t>Також на баланс КП "</w:t>
      </w:r>
      <w:proofErr w:type="spellStart"/>
      <w:r w:rsidRPr="00DE4DDA">
        <w:rPr>
          <w:rFonts w:ascii="Times New Roman" w:hAnsi="Times New Roman" w:cs="Times New Roman"/>
          <w:sz w:val="28"/>
          <w:szCs w:val="28"/>
        </w:rPr>
        <w:t>Теплоенерго</w:t>
      </w:r>
      <w:proofErr w:type="spellEnd"/>
      <w:r w:rsidRPr="00DE4DDA">
        <w:rPr>
          <w:rFonts w:ascii="Times New Roman" w:hAnsi="Times New Roman" w:cs="Times New Roman"/>
          <w:sz w:val="28"/>
          <w:szCs w:val="28"/>
        </w:rPr>
        <w:t>" рішенням Кременчуцької міської ради № 489 від 31.05.2016</w:t>
      </w:r>
      <w:r w:rsidR="00935903">
        <w:rPr>
          <w:rFonts w:ascii="Times New Roman" w:hAnsi="Times New Roman" w:cs="Times New Roman"/>
          <w:sz w:val="28"/>
          <w:szCs w:val="28"/>
        </w:rPr>
        <w:t xml:space="preserve"> </w:t>
      </w:r>
      <w:r w:rsidRPr="00DE4DDA">
        <w:rPr>
          <w:rFonts w:ascii="Times New Roman" w:hAnsi="Times New Roman" w:cs="Times New Roman"/>
          <w:sz w:val="28"/>
          <w:szCs w:val="28"/>
        </w:rPr>
        <w:t>р. було прийнято в</w:t>
      </w:r>
      <w:r w:rsidR="00935903">
        <w:rPr>
          <w:rFonts w:ascii="Times New Roman" w:hAnsi="Times New Roman" w:cs="Times New Roman"/>
          <w:sz w:val="28"/>
          <w:szCs w:val="28"/>
        </w:rPr>
        <w:t>ід КП "Благоустрій Кременчука"</w:t>
      </w:r>
      <w:r w:rsidRPr="00DE4DDA">
        <w:rPr>
          <w:rFonts w:ascii="Times New Roman" w:hAnsi="Times New Roman" w:cs="Times New Roman"/>
          <w:sz w:val="28"/>
          <w:szCs w:val="28"/>
        </w:rPr>
        <w:t xml:space="preserve"> 167,161 км трубопроводів у 2-х трубному вимірі </w:t>
      </w:r>
      <w:r w:rsidR="00973553">
        <w:rPr>
          <w:rFonts w:ascii="Times New Roman" w:hAnsi="Times New Roman" w:cs="Times New Roman"/>
          <w:sz w:val="28"/>
          <w:szCs w:val="28"/>
        </w:rPr>
        <w:t xml:space="preserve">та 40 ЦТП, які задіяні тільки у </w:t>
      </w:r>
      <w:r w:rsidRPr="00DE4DDA">
        <w:rPr>
          <w:rFonts w:ascii="Times New Roman" w:hAnsi="Times New Roman" w:cs="Times New Roman"/>
          <w:sz w:val="28"/>
          <w:szCs w:val="28"/>
        </w:rPr>
        <w:t>транспортуванні теп</w:t>
      </w:r>
      <w:r w:rsidR="00973553">
        <w:rPr>
          <w:rFonts w:ascii="Times New Roman" w:hAnsi="Times New Roman" w:cs="Times New Roman"/>
          <w:sz w:val="28"/>
          <w:szCs w:val="28"/>
        </w:rPr>
        <w:t xml:space="preserve">лової енергії від Кременчуцької філії </w:t>
      </w:r>
      <w:r w:rsidRPr="00DE4DDA">
        <w:rPr>
          <w:rFonts w:ascii="Times New Roman" w:hAnsi="Times New Roman" w:cs="Times New Roman"/>
          <w:sz w:val="28"/>
          <w:szCs w:val="28"/>
        </w:rPr>
        <w:t>ТЕЦ ПАТ "</w:t>
      </w:r>
      <w:proofErr w:type="spellStart"/>
      <w:r w:rsidRPr="00DE4DDA">
        <w:rPr>
          <w:rFonts w:ascii="Times New Roman" w:hAnsi="Times New Roman" w:cs="Times New Roman"/>
          <w:sz w:val="28"/>
          <w:szCs w:val="28"/>
        </w:rPr>
        <w:t>Полтаваобленерго</w:t>
      </w:r>
      <w:proofErr w:type="spellEnd"/>
      <w:r w:rsidRPr="00DE4DDA">
        <w:rPr>
          <w:rFonts w:ascii="Times New Roman" w:hAnsi="Times New Roman" w:cs="Times New Roman"/>
          <w:sz w:val="28"/>
          <w:szCs w:val="28"/>
        </w:rPr>
        <w:t>".</w:t>
      </w:r>
    </w:p>
    <w:p w:rsidR="007A068D" w:rsidRDefault="001F733D" w:rsidP="001954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 2018 році</w:t>
      </w:r>
      <w:r w:rsidR="007A068D" w:rsidRPr="007A068D">
        <w:rPr>
          <w:rFonts w:ascii="Times New Roman" w:hAnsi="Times New Roman" w:cs="Times New Roman"/>
          <w:sz w:val="28"/>
          <w:szCs w:val="28"/>
        </w:rPr>
        <w:t xml:space="preserve"> </w:t>
      </w:r>
      <w:r w:rsidR="007A068D">
        <w:rPr>
          <w:rFonts w:ascii="Times New Roman" w:hAnsi="Times New Roman" w:cs="Times New Roman"/>
          <w:sz w:val="28"/>
          <w:szCs w:val="28"/>
        </w:rPr>
        <w:t>КП «</w:t>
      </w:r>
      <w:proofErr w:type="spellStart"/>
      <w:r w:rsidR="007A068D">
        <w:rPr>
          <w:rFonts w:ascii="Times New Roman" w:hAnsi="Times New Roman" w:cs="Times New Roman"/>
          <w:sz w:val="28"/>
          <w:szCs w:val="28"/>
        </w:rPr>
        <w:t>Теплоенерго</w:t>
      </w:r>
      <w:proofErr w:type="spellEnd"/>
      <w:r w:rsidR="007A068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здійснювало</w:t>
      </w:r>
      <w:r w:rsidR="007A068D" w:rsidRPr="007A068D">
        <w:rPr>
          <w:rFonts w:ascii="Times New Roman" w:hAnsi="Times New Roman" w:cs="Times New Roman"/>
          <w:sz w:val="28"/>
          <w:szCs w:val="28"/>
        </w:rPr>
        <w:t xml:space="preserve"> ліцензовану господарську діяльність з виробництва, транспортування і </w:t>
      </w:r>
      <w:r w:rsidR="007B417B">
        <w:rPr>
          <w:rFonts w:ascii="Times New Roman" w:hAnsi="Times New Roman" w:cs="Times New Roman"/>
          <w:sz w:val="28"/>
          <w:szCs w:val="28"/>
        </w:rPr>
        <w:t>постачання теплової енергії та було</w:t>
      </w:r>
      <w:r w:rsidR="007A068D">
        <w:rPr>
          <w:rFonts w:ascii="Times New Roman" w:hAnsi="Times New Roman" w:cs="Times New Roman"/>
          <w:sz w:val="28"/>
          <w:szCs w:val="28"/>
        </w:rPr>
        <w:t xml:space="preserve"> </w:t>
      </w:r>
      <w:r w:rsidR="007A068D" w:rsidRPr="007A068D">
        <w:rPr>
          <w:rFonts w:ascii="Times New Roman" w:hAnsi="Times New Roman" w:cs="Times New Roman"/>
          <w:sz w:val="28"/>
          <w:szCs w:val="28"/>
        </w:rPr>
        <w:t>виконавцем послуг з централізованого опалення й постачання гарячої води,</w:t>
      </w:r>
      <w:r w:rsidR="007A068D">
        <w:rPr>
          <w:rFonts w:ascii="Times New Roman" w:hAnsi="Times New Roman" w:cs="Times New Roman"/>
          <w:sz w:val="28"/>
          <w:szCs w:val="28"/>
        </w:rPr>
        <w:t xml:space="preserve"> надаючи їх</w:t>
      </w:r>
      <w:r w:rsidR="001200AD">
        <w:rPr>
          <w:rFonts w:ascii="Times New Roman" w:hAnsi="Times New Roman" w:cs="Times New Roman"/>
          <w:sz w:val="28"/>
          <w:szCs w:val="28"/>
        </w:rPr>
        <w:t xml:space="preserve"> споживачам</w:t>
      </w:r>
      <w:r w:rsidR="007A068D" w:rsidRPr="007A068D">
        <w:rPr>
          <w:rFonts w:ascii="Times New Roman" w:hAnsi="Times New Roman" w:cs="Times New Roman"/>
          <w:sz w:val="28"/>
          <w:szCs w:val="28"/>
        </w:rPr>
        <w:t xml:space="preserve"> міста. </w:t>
      </w:r>
    </w:p>
    <w:p w:rsidR="007A068D" w:rsidRDefault="007A068D" w:rsidP="008975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68D">
        <w:rPr>
          <w:rFonts w:ascii="Times New Roman" w:hAnsi="Times New Roman" w:cs="Times New Roman"/>
          <w:sz w:val="28"/>
          <w:szCs w:val="28"/>
        </w:rPr>
        <w:t>Обсяги виробництва і реалізації теплової енергії залежать від тривалості</w:t>
      </w:r>
      <w:r w:rsidR="00897594">
        <w:rPr>
          <w:rFonts w:ascii="Times New Roman" w:hAnsi="Times New Roman" w:cs="Times New Roman"/>
          <w:sz w:val="28"/>
          <w:szCs w:val="28"/>
        </w:rPr>
        <w:t xml:space="preserve"> </w:t>
      </w:r>
      <w:r w:rsidRPr="007A068D">
        <w:rPr>
          <w:rFonts w:ascii="Times New Roman" w:hAnsi="Times New Roman" w:cs="Times New Roman"/>
          <w:sz w:val="28"/>
          <w:szCs w:val="28"/>
        </w:rPr>
        <w:t xml:space="preserve">опалювального періоду та температури зовнішнього повітря.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7A068D">
        <w:rPr>
          <w:rFonts w:ascii="Times New Roman" w:hAnsi="Times New Roman" w:cs="Times New Roman"/>
          <w:sz w:val="28"/>
          <w:szCs w:val="28"/>
        </w:rPr>
        <w:t xml:space="preserve">а </w:t>
      </w:r>
      <w:r w:rsidR="00897594">
        <w:rPr>
          <w:rFonts w:ascii="Times New Roman" w:hAnsi="Times New Roman" w:cs="Times New Roman"/>
          <w:sz w:val="28"/>
          <w:szCs w:val="28"/>
        </w:rPr>
        <w:t xml:space="preserve">2018 рік </w:t>
      </w:r>
      <w:r>
        <w:rPr>
          <w:rFonts w:ascii="Times New Roman" w:hAnsi="Times New Roman" w:cs="Times New Roman"/>
          <w:sz w:val="28"/>
          <w:szCs w:val="28"/>
        </w:rPr>
        <w:t>підприємство виробило власними котельними 62,143</w:t>
      </w:r>
      <w:r w:rsidRPr="007A068D">
        <w:rPr>
          <w:rFonts w:ascii="Times New Roman" w:hAnsi="Times New Roman" w:cs="Times New Roman"/>
          <w:sz w:val="28"/>
          <w:szCs w:val="28"/>
        </w:rPr>
        <w:t xml:space="preserve"> тис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A06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068D">
        <w:rPr>
          <w:rFonts w:ascii="Times New Roman" w:hAnsi="Times New Roman" w:cs="Times New Roman"/>
          <w:sz w:val="28"/>
          <w:szCs w:val="28"/>
        </w:rPr>
        <w:t>Гкал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897594" w:rsidRPr="00897594">
        <w:rPr>
          <w:rFonts w:ascii="Times New Roman" w:hAnsi="Times New Roman" w:cs="Times New Roman"/>
          <w:sz w:val="28"/>
          <w:szCs w:val="28"/>
        </w:rPr>
        <w:t xml:space="preserve"> </w:t>
      </w:r>
      <w:r w:rsidR="00897594">
        <w:rPr>
          <w:rFonts w:ascii="Times New Roman" w:hAnsi="Times New Roman" w:cs="Times New Roman"/>
          <w:sz w:val="28"/>
          <w:szCs w:val="28"/>
        </w:rPr>
        <w:t xml:space="preserve">теплової енергії </w:t>
      </w:r>
      <w:r>
        <w:rPr>
          <w:rFonts w:ascii="Times New Roman" w:hAnsi="Times New Roman" w:cs="Times New Roman"/>
          <w:sz w:val="28"/>
          <w:szCs w:val="28"/>
        </w:rPr>
        <w:t xml:space="preserve">та було куплено від ПАТ «КВБЗ» 77,559 тис.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Гкал</w:t>
      </w:r>
      <w:proofErr w:type="spellEnd"/>
      <w:r w:rsidRPr="007A068D">
        <w:rPr>
          <w:rFonts w:ascii="Times New Roman" w:hAnsi="Times New Roman" w:cs="Times New Roman"/>
          <w:sz w:val="28"/>
          <w:szCs w:val="28"/>
        </w:rPr>
        <w:t>.</w:t>
      </w:r>
      <w:r w:rsidR="00897594">
        <w:rPr>
          <w:rFonts w:ascii="Times New Roman" w:hAnsi="Times New Roman" w:cs="Times New Roman"/>
          <w:sz w:val="28"/>
          <w:szCs w:val="28"/>
        </w:rPr>
        <w:t xml:space="preserve"> теплової енергії. На </w:t>
      </w:r>
      <w:r>
        <w:rPr>
          <w:rFonts w:ascii="Times New Roman" w:hAnsi="Times New Roman" w:cs="Times New Roman"/>
          <w:sz w:val="28"/>
          <w:szCs w:val="28"/>
        </w:rPr>
        <w:t>виробництво теплової енергії за 2018 рік було спожито 8802,171 тис.м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8975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природнього газу, ел</w:t>
      </w:r>
      <w:r w:rsidR="003C2914">
        <w:rPr>
          <w:rFonts w:ascii="Times New Roman" w:hAnsi="Times New Roman" w:cs="Times New Roman"/>
          <w:sz w:val="28"/>
          <w:szCs w:val="28"/>
        </w:rPr>
        <w:t>ектроенергії 7089,82 тис. кВт. т</w:t>
      </w:r>
      <w:r>
        <w:rPr>
          <w:rFonts w:ascii="Times New Roman" w:hAnsi="Times New Roman" w:cs="Times New Roman"/>
          <w:sz w:val="28"/>
          <w:szCs w:val="28"/>
        </w:rPr>
        <w:t>а води 452,711 тис. 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1C1EB6">
        <w:rPr>
          <w:rFonts w:ascii="Times New Roman" w:hAnsi="Times New Roman" w:cs="Times New Roman"/>
          <w:sz w:val="28"/>
          <w:szCs w:val="28"/>
        </w:rPr>
        <w:t xml:space="preserve"> </w:t>
      </w:r>
      <w:r w:rsidR="00897594">
        <w:rPr>
          <w:rFonts w:ascii="Times New Roman" w:hAnsi="Times New Roman" w:cs="Times New Roman"/>
          <w:sz w:val="28"/>
          <w:szCs w:val="28"/>
        </w:rPr>
        <w:t xml:space="preserve">Для </w:t>
      </w:r>
      <w:r w:rsidR="003F6B4F">
        <w:rPr>
          <w:rFonts w:ascii="Times New Roman" w:hAnsi="Times New Roman" w:cs="Times New Roman"/>
          <w:sz w:val="28"/>
          <w:szCs w:val="28"/>
        </w:rPr>
        <w:t>потреб населення за 2018 рік було реалізовано</w:t>
      </w:r>
      <w:r w:rsidR="00195413">
        <w:rPr>
          <w:rFonts w:ascii="Times New Roman" w:hAnsi="Times New Roman" w:cs="Times New Roman"/>
          <w:sz w:val="28"/>
          <w:szCs w:val="28"/>
        </w:rPr>
        <w:t xml:space="preserve"> </w:t>
      </w:r>
      <w:r w:rsidR="00897594">
        <w:rPr>
          <w:rFonts w:ascii="Times New Roman" w:hAnsi="Times New Roman" w:cs="Times New Roman"/>
          <w:sz w:val="28"/>
          <w:szCs w:val="28"/>
        </w:rPr>
        <w:t xml:space="preserve">97,686 тис. </w:t>
      </w:r>
      <w:proofErr w:type="spellStart"/>
      <w:r w:rsidR="00897594">
        <w:rPr>
          <w:rFonts w:ascii="Times New Roman" w:hAnsi="Times New Roman" w:cs="Times New Roman"/>
          <w:sz w:val="28"/>
          <w:szCs w:val="28"/>
        </w:rPr>
        <w:t>Гкал</w:t>
      </w:r>
      <w:proofErr w:type="spellEnd"/>
      <w:r w:rsidR="00897594">
        <w:rPr>
          <w:rFonts w:ascii="Times New Roman" w:hAnsi="Times New Roman" w:cs="Times New Roman"/>
          <w:sz w:val="28"/>
          <w:szCs w:val="28"/>
        </w:rPr>
        <w:t xml:space="preserve">., для </w:t>
      </w:r>
      <w:r w:rsidR="00493BC7">
        <w:rPr>
          <w:rFonts w:ascii="Times New Roman" w:hAnsi="Times New Roman" w:cs="Times New Roman"/>
          <w:sz w:val="28"/>
          <w:szCs w:val="28"/>
        </w:rPr>
        <w:t xml:space="preserve">бюджетних установ 12,833 тис. </w:t>
      </w:r>
      <w:proofErr w:type="spellStart"/>
      <w:r w:rsidR="00493BC7">
        <w:rPr>
          <w:rFonts w:ascii="Times New Roman" w:hAnsi="Times New Roman" w:cs="Times New Roman"/>
          <w:sz w:val="28"/>
          <w:szCs w:val="28"/>
        </w:rPr>
        <w:t>Гкал</w:t>
      </w:r>
      <w:proofErr w:type="spellEnd"/>
      <w:r w:rsidR="00493BC7">
        <w:rPr>
          <w:rFonts w:ascii="Times New Roman" w:hAnsi="Times New Roman" w:cs="Times New Roman"/>
          <w:sz w:val="28"/>
          <w:szCs w:val="28"/>
        </w:rPr>
        <w:t xml:space="preserve">. та для інших споживачів 2,719 тис. </w:t>
      </w:r>
      <w:proofErr w:type="spellStart"/>
      <w:r w:rsidR="00493BC7">
        <w:rPr>
          <w:rFonts w:ascii="Times New Roman" w:hAnsi="Times New Roman" w:cs="Times New Roman"/>
          <w:sz w:val="28"/>
          <w:szCs w:val="28"/>
        </w:rPr>
        <w:t>Гкал</w:t>
      </w:r>
      <w:proofErr w:type="spellEnd"/>
      <w:r w:rsidR="00493BC7">
        <w:rPr>
          <w:rFonts w:ascii="Times New Roman" w:hAnsi="Times New Roman" w:cs="Times New Roman"/>
          <w:sz w:val="28"/>
          <w:szCs w:val="28"/>
        </w:rPr>
        <w:t>..</w:t>
      </w:r>
      <w:r w:rsidRPr="007A06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3BC7" w:rsidRDefault="00493BC7" w:rsidP="0019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3BC7" w:rsidRDefault="00493BC7" w:rsidP="001954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3BC7">
        <w:rPr>
          <w:rFonts w:ascii="Times New Roman" w:hAnsi="Times New Roman" w:cs="Times New Roman"/>
          <w:b/>
          <w:sz w:val="28"/>
          <w:szCs w:val="28"/>
        </w:rPr>
        <w:t>Організаційна структура</w:t>
      </w:r>
    </w:p>
    <w:p w:rsidR="00493BC7" w:rsidRPr="00493BC7" w:rsidRDefault="00493BC7" w:rsidP="001954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3BC7" w:rsidRDefault="00493BC7" w:rsidP="001954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BC7">
        <w:rPr>
          <w:rFonts w:ascii="Times New Roman" w:hAnsi="Times New Roman" w:cs="Times New Roman"/>
          <w:sz w:val="28"/>
          <w:szCs w:val="28"/>
        </w:rPr>
        <w:t>Кері</w:t>
      </w:r>
      <w:r>
        <w:rPr>
          <w:rFonts w:ascii="Times New Roman" w:hAnsi="Times New Roman" w:cs="Times New Roman"/>
          <w:sz w:val="28"/>
          <w:szCs w:val="28"/>
        </w:rPr>
        <w:t>вництво підприємством здійснює директор, якого призна</w:t>
      </w:r>
      <w:r w:rsidRPr="00493BC7">
        <w:rPr>
          <w:rFonts w:ascii="Times New Roman" w:hAnsi="Times New Roman" w:cs="Times New Roman"/>
          <w:sz w:val="28"/>
          <w:szCs w:val="28"/>
        </w:rPr>
        <w:t xml:space="preserve">чає </w:t>
      </w:r>
      <w:r>
        <w:rPr>
          <w:rFonts w:ascii="Times New Roman" w:hAnsi="Times New Roman" w:cs="Times New Roman"/>
          <w:sz w:val="28"/>
          <w:szCs w:val="28"/>
        </w:rPr>
        <w:t>Кременчуцька міська</w:t>
      </w:r>
      <w:r w:rsidRPr="00493BC7">
        <w:rPr>
          <w:rFonts w:ascii="Times New Roman" w:hAnsi="Times New Roman" w:cs="Times New Roman"/>
          <w:sz w:val="28"/>
          <w:szCs w:val="28"/>
        </w:rPr>
        <w:t xml:space="preserve"> рада шляхом уклад</w:t>
      </w:r>
      <w:r>
        <w:rPr>
          <w:rFonts w:ascii="Times New Roman" w:hAnsi="Times New Roman" w:cs="Times New Roman"/>
          <w:sz w:val="28"/>
          <w:szCs w:val="28"/>
        </w:rPr>
        <w:t>ення з ним контракту у відповід</w:t>
      </w:r>
      <w:r w:rsidRPr="00493BC7">
        <w:rPr>
          <w:rFonts w:ascii="Times New Roman" w:hAnsi="Times New Roman" w:cs="Times New Roman"/>
          <w:sz w:val="28"/>
          <w:szCs w:val="28"/>
        </w:rPr>
        <w:t xml:space="preserve">ності до Положення про порядок призначення на посаду та звільнення </w:t>
      </w:r>
      <w:r>
        <w:rPr>
          <w:rFonts w:ascii="Times New Roman" w:hAnsi="Times New Roman" w:cs="Times New Roman"/>
          <w:sz w:val="28"/>
          <w:szCs w:val="28"/>
        </w:rPr>
        <w:t>з по</w:t>
      </w:r>
      <w:r w:rsidRPr="00493BC7">
        <w:rPr>
          <w:rFonts w:ascii="Times New Roman" w:hAnsi="Times New Roman" w:cs="Times New Roman"/>
          <w:sz w:val="28"/>
          <w:szCs w:val="28"/>
        </w:rPr>
        <w:t>сади керівників підприємств (установ, організацій, закладів), які належать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3BC7">
        <w:rPr>
          <w:rFonts w:ascii="Times New Roman" w:hAnsi="Times New Roman" w:cs="Times New Roman"/>
          <w:sz w:val="28"/>
          <w:szCs w:val="28"/>
        </w:rPr>
        <w:t>спільної власності територіальних г</w:t>
      </w:r>
      <w:r>
        <w:rPr>
          <w:rFonts w:ascii="Times New Roman" w:hAnsi="Times New Roman" w:cs="Times New Roman"/>
          <w:sz w:val="28"/>
          <w:szCs w:val="28"/>
        </w:rPr>
        <w:t>ромад сіл, селищ і міст області.</w:t>
      </w:r>
      <w:r w:rsidRPr="00493B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3BC7" w:rsidRDefault="00493BC7" w:rsidP="009735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BC7">
        <w:rPr>
          <w:rFonts w:ascii="Times New Roman" w:hAnsi="Times New Roman" w:cs="Times New Roman"/>
          <w:sz w:val="28"/>
          <w:szCs w:val="28"/>
        </w:rPr>
        <w:t xml:space="preserve">Структура підприємства містить </w:t>
      </w:r>
      <w:r w:rsidR="00492D51">
        <w:rPr>
          <w:rFonts w:ascii="Times New Roman" w:hAnsi="Times New Roman" w:cs="Times New Roman"/>
          <w:sz w:val="28"/>
          <w:szCs w:val="28"/>
        </w:rPr>
        <w:t>7</w:t>
      </w:r>
      <w:r w:rsidR="008807AD">
        <w:rPr>
          <w:rFonts w:ascii="Times New Roman" w:hAnsi="Times New Roman" w:cs="Times New Roman"/>
          <w:sz w:val="28"/>
          <w:szCs w:val="28"/>
        </w:rPr>
        <w:t xml:space="preserve"> відділів</w:t>
      </w:r>
      <w:r w:rsidRPr="00493BC7">
        <w:rPr>
          <w:rFonts w:ascii="Times New Roman" w:hAnsi="Times New Roman" w:cs="Times New Roman"/>
          <w:sz w:val="28"/>
          <w:szCs w:val="28"/>
        </w:rPr>
        <w:t xml:space="preserve">; </w:t>
      </w:r>
      <w:r w:rsidR="00492D51">
        <w:rPr>
          <w:rFonts w:ascii="Times New Roman" w:hAnsi="Times New Roman" w:cs="Times New Roman"/>
          <w:sz w:val="28"/>
          <w:szCs w:val="28"/>
        </w:rPr>
        <w:t>6</w:t>
      </w:r>
      <w:r w:rsidRPr="00493BC7">
        <w:rPr>
          <w:rFonts w:ascii="Times New Roman" w:hAnsi="Times New Roman" w:cs="Times New Roman"/>
          <w:sz w:val="28"/>
          <w:szCs w:val="28"/>
        </w:rPr>
        <w:t xml:space="preserve"> дільниць; </w:t>
      </w:r>
      <w:r w:rsidR="00492D51">
        <w:rPr>
          <w:rFonts w:ascii="Times New Roman" w:hAnsi="Times New Roman" w:cs="Times New Roman"/>
          <w:sz w:val="28"/>
          <w:szCs w:val="28"/>
        </w:rPr>
        <w:t>2</w:t>
      </w:r>
      <w:r w:rsidRPr="00493BC7">
        <w:rPr>
          <w:rFonts w:ascii="Times New Roman" w:hAnsi="Times New Roman" w:cs="Times New Roman"/>
          <w:sz w:val="28"/>
          <w:szCs w:val="28"/>
        </w:rPr>
        <w:t xml:space="preserve"> цех</w:t>
      </w:r>
      <w:r w:rsidR="00492D51">
        <w:rPr>
          <w:rFonts w:ascii="Times New Roman" w:hAnsi="Times New Roman" w:cs="Times New Roman"/>
          <w:sz w:val="28"/>
          <w:szCs w:val="28"/>
        </w:rPr>
        <w:t>а</w:t>
      </w:r>
      <w:r w:rsidRPr="00493BC7">
        <w:rPr>
          <w:rFonts w:ascii="Times New Roman" w:hAnsi="Times New Roman" w:cs="Times New Roman"/>
          <w:sz w:val="28"/>
          <w:szCs w:val="28"/>
        </w:rPr>
        <w:t xml:space="preserve">; </w:t>
      </w:r>
      <w:r w:rsidR="00492D51">
        <w:rPr>
          <w:rFonts w:ascii="Times New Roman" w:hAnsi="Times New Roman" w:cs="Times New Roman"/>
          <w:sz w:val="28"/>
          <w:szCs w:val="28"/>
        </w:rPr>
        <w:t>1 служб</w:t>
      </w:r>
      <w:r w:rsidR="00897594">
        <w:rPr>
          <w:rFonts w:ascii="Times New Roman" w:hAnsi="Times New Roman" w:cs="Times New Roman"/>
          <w:sz w:val="28"/>
          <w:szCs w:val="28"/>
        </w:rPr>
        <w:t>у</w:t>
      </w:r>
      <w:r w:rsidRPr="00493BC7">
        <w:rPr>
          <w:rFonts w:ascii="Times New Roman" w:hAnsi="Times New Roman" w:cs="Times New Roman"/>
          <w:sz w:val="28"/>
          <w:szCs w:val="28"/>
        </w:rPr>
        <w:t>.</w:t>
      </w:r>
      <w:r w:rsidR="00973553">
        <w:rPr>
          <w:rFonts w:ascii="Times New Roman" w:hAnsi="Times New Roman" w:cs="Times New Roman"/>
          <w:sz w:val="28"/>
          <w:szCs w:val="28"/>
        </w:rPr>
        <w:t xml:space="preserve"> </w:t>
      </w:r>
      <w:r w:rsidRPr="00493BC7">
        <w:rPr>
          <w:rFonts w:ascii="Times New Roman" w:hAnsi="Times New Roman" w:cs="Times New Roman"/>
          <w:sz w:val="28"/>
          <w:szCs w:val="28"/>
        </w:rPr>
        <w:t xml:space="preserve">Окрім того, окремо функціонують інші допоміжні </w:t>
      </w:r>
      <w:r w:rsidR="00492D51">
        <w:rPr>
          <w:rFonts w:ascii="Times New Roman" w:hAnsi="Times New Roman" w:cs="Times New Roman"/>
          <w:sz w:val="28"/>
          <w:szCs w:val="28"/>
        </w:rPr>
        <w:t>посади</w:t>
      </w:r>
      <w:r w:rsidRPr="00493BC7">
        <w:rPr>
          <w:rFonts w:ascii="Times New Roman" w:hAnsi="Times New Roman" w:cs="Times New Roman"/>
          <w:sz w:val="28"/>
          <w:szCs w:val="28"/>
        </w:rPr>
        <w:t>.</w:t>
      </w:r>
    </w:p>
    <w:p w:rsidR="00973553" w:rsidRDefault="00973553" w:rsidP="009735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Середньооблікова </w:t>
      </w:r>
      <w:r w:rsidRPr="00E878BC">
        <w:rPr>
          <w:rFonts w:ascii="Times New Roman" w:hAnsi="Times New Roman" w:cs="Times New Roman"/>
          <w:sz w:val="28"/>
          <w:szCs w:val="28"/>
        </w:rPr>
        <w:t>кількість п</w:t>
      </w:r>
      <w:r>
        <w:rPr>
          <w:rFonts w:ascii="Times New Roman" w:hAnsi="Times New Roman" w:cs="Times New Roman"/>
          <w:sz w:val="28"/>
          <w:szCs w:val="28"/>
        </w:rPr>
        <w:t>рацівників підприємства за 2018 рік станови</w:t>
      </w:r>
      <w:r w:rsidRPr="00E878BC">
        <w:rPr>
          <w:rFonts w:ascii="Times New Roman" w:hAnsi="Times New Roman" w:cs="Times New Roman"/>
          <w:sz w:val="28"/>
          <w:szCs w:val="28"/>
        </w:rPr>
        <w:t xml:space="preserve">ла </w:t>
      </w:r>
      <w:r>
        <w:rPr>
          <w:rFonts w:ascii="Times New Roman" w:hAnsi="Times New Roman" w:cs="Times New Roman"/>
          <w:sz w:val="28"/>
          <w:szCs w:val="28"/>
        </w:rPr>
        <w:t>376 особи, серед яких:</w:t>
      </w:r>
    </w:p>
    <w:p w:rsidR="00973553" w:rsidRDefault="00973553" w:rsidP="005540F8">
      <w:pPr>
        <w:pStyle w:val="ae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Жінок – 113 осіб,</w:t>
      </w:r>
    </w:p>
    <w:p w:rsidR="00435DD0" w:rsidRDefault="00973553" w:rsidP="005540F8">
      <w:pPr>
        <w:pStyle w:val="ae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Чоловіків </w:t>
      </w:r>
      <w:r w:rsidR="00435DD0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263 особи, </w:t>
      </w:r>
    </w:p>
    <w:p w:rsidR="00973553" w:rsidRPr="005540F8" w:rsidRDefault="00973553" w:rsidP="005540F8">
      <w:pPr>
        <w:pStyle w:val="ae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0F8">
        <w:rPr>
          <w:rFonts w:ascii="Times New Roman" w:hAnsi="Times New Roman" w:cs="Times New Roman"/>
          <w:sz w:val="28"/>
          <w:szCs w:val="28"/>
        </w:rPr>
        <w:t>в тому числі</w:t>
      </w:r>
      <w:r w:rsidR="005540F8">
        <w:rPr>
          <w:rFonts w:ascii="Times New Roman" w:hAnsi="Times New Roman" w:cs="Times New Roman"/>
          <w:sz w:val="28"/>
          <w:szCs w:val="28"/>
        </w:rPr>
        <w:t xml:space="preserve"> з додатковими гарантіями </w:t>
      </w:r>
      <w:r w:rsidRPr="005540F8">
        <w:rPr>
          <w:rFonts w:ascii="Times New Roman" w:hAnsi="Times New Roman" w:cs="Times New Roman"/>
          <w:sz w:val="28"/>
          <w:szCs w:val="28"/>
        </w:rPr>
        <w:t>працевлаштування 146 осіб та з інвалідністю 27 осіб.</w:t>
      </w:r>
    </w:p>
    <w:p w:rsidR="005540F8" w:rsidRPr="005540F8" w:rsidRDefault="005540F8" w:rsidP="005540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0F8">
        <w:rPr>
          <w:rFonts w:ascii="Times New Roman" w:hAnsi="Times New Roman" w:cs="Times New Roman"/>
          <w:sz w:val="28"/>
          <w:szCs w:val="28"/>
        </w:rPr>
        <w:t>Трудові договори з працівниками організації укладає директор, керуючись чинним законодавством України.</w:t>
      </w:r>
    </w:p>
    <w:p w:rsidR="00973553" w:rsidRDefault="00973553" w:rsidP="009735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4A5">
        <w:rPr>
          <w:rFonts w:ascii="Times New Roman" w:hAnsi="Times New Roman" w:cs="Times New Roman"/>
          <w:sz w:val="28"/>
          <w:szCs w:val="28"/>
        </w:rPr>
        <w:t>Протягом 2018 року на виробництво</w:t>
      </w:r>
      <w:r w:rsidR="00435DD0">
        <w:rPr>
          <w:rFonts w:ascii="Times New Roman" w:hAnsi="Times New Roman" w:cs="Times New Roman"/>
          <w:sz w:val="28"/>
          <w:szCs w:val="28"/>
        </w:rPr>
        <w:t xml:space="preserve"> було </w:t>
      </w:r>
      <w:r w:rsidRPr="000324A5">
        <w:rPr>
          <w:rFonts w:ascii="Times New Roman" w:hAnsi="Times New Roman" w:cs="Times New Roman"/>
          <w:sz w:val="28"/>
          <w:szCs w:val="28"/>
        </w:rPr>
        <w:t>прийнято 1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0324A5">
        <w:rPr>
          <w:rFonts w:ascii="Times New Roman" w:hAnsi="Times New Roman" w:cs="Times New Roman"/>
          <w:sz w:val="28"/>
          <w:szCs w:val="28"/>
        </w:rPr>
        <w:t xml:space="preserve"> працівник</w:t>
      </w:r>
      <w:r>
        <w:rPr>
          <w:rFonts w:ascii="Times New Roman" w:hAnsi="Times New Roman" w:cs="Times New Roman"/>
          <w:sz w:val="28"/>
          <w:szCs w:val="28"/>
        </w:rPr>
        <w:t>ів</w:t>
      </w:r>
      <w:r w:rsidRPr="000324A5">
        <w:rPr>
          <w:rFonts w:ascii="Times New Roman" w:hAnsi="Times New Roman" w:cs="Times New Roman"/>
          <w:sz w:val="28"/>
          <w:szCs w:val="28"/>
        </w:rPr>
        <w:t>, зокрема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78BC">
        <w:rPr>
          <w:rFonts w:ascii="Times New Roman" w:hAnsi="Times New Roman" w:cs="Times New Roman"/>
          <w:sz w:val="28"/>
          <w:szCs w:val="28"/>
        </w:rPr>
        <w:t xml:space="preserve">строковим трудовим договором –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E878BC">
        <w:rPr>
          <w:rFonts w:ascii="Times New Roman" w:hAnsi="Times New Roman" w:cs="Times New Roman"/>
          <w:sz w:val="28"/>
          <w:szCs w:val="28"/>
        </w:rPr>
        <w:t xml:space="preserve"> осіб.</w:t>
      </w:r>
    </w:p>
    <w:p w:rsidR="00973553" w:rsidRDefault="00973553" w:rsidP="009735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878BC">
        <w:rPr>
          <w:rFonts w:ascii="Times New Roman" w:hAnsi="Times New Roman" w:cs="Times New Roman"/>
          <w:sz w:val="28"/>
          <w:szCs w:val="28"/>
        </w:rPr>
        <w:t xml:space="preserve"> Звільнилися </w:t>
      </w:r>
      <w:r>
        <w:rPr>
          <w:rFonts w:ascii="Times New Roman" w:hAnsi="Times New Roman" w:cs="Times New Roman"/>
          <w:sz w:val="28"/>
          <w:szCs w:val="28"/>
        </w:rPr>
        <w:t>за власним бажан</w:t>
      </w:r>
      <w:r w:rsidRPr="00E878BC">
        <w:rPr>
          <w:rFonts w:ascii="Times New Roman" w:hAnsi="Times New Roman" w:cs="Times New Roman"/>
          <w:sz w:val="28"/>
          <w:szCs w:val="28"/>
        </w:rPr>
        <w:t>ням</w:t>
      </w:r>
      <w:r>
        <w:rPr>
          <w:rFonts w:ascii="Times New Roman" w:hAnsi="Times New Roman" w:cs="Times New Roman"/>
          <w:sz w:val="28"/>
          <w:szCs w:val="28"/>
        </w:rPr>
        <w:t xml:space="preserve"> – 29 осіб</w:t>
      </w:r>
      <w:r w:rsidRPr="00E878B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</w:t>
      </w:r>
      <w:r w:rsidRPr="00E878BC">
        <w:rPr>
          <w:rFonts w:ascii="Times New Roman" w:hAnsi="Times New Roman" w:cs="Times New Roman"/>
          <w:sz w:val="28"/>
          <w:szCs w:val="28"/>
        </w:rPr>
        <w:t xml:space="preserve"> угодою сторін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5DD0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26 осіб, у зв’язку з </w:t>
      </w:r>
      <w:r w:rsidRPr="00E878BC">
        <w:rPr>
          <w:rFonts w:ascii="Times New Roman" w:hAnsi="Times New Roman" w:cs="Times New Roman"/>
          <w:sz w:val="28"/>
          <w:szCs w:val="28"/>
        </w:rPr>
        <w:t>закінченням строку трудового договору</w:t>
      </w:r>
      <w:r w:rsidR="00435DD0">
        <w:rPr>
          <w:rFonts w:ascii="Times New Roman" w:hAnsi="Times New Roman" w:cs="Times New Roman"/>
          <w:sz w:val="28"/>
          <w:szCs w:val="28"/>
        </w:rPr>
        <w:t xml:space="preserve"> – 20 осіб, з </w:t>
      </w:r>
      <w:r w:rsidRPr="00E878BC">
        <w:rPr>
          <w:rFonts w:ascii="Times New Roman" w:hAnsi="Times New Roman" w:cs="Times New Roman"/>
          <w:sz w:val="28"/>
          <w:szCs w:val="28"/>
        </w:rPr>
        <w:t>інших причин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5DD0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3.</w:t>
      </w:r>
    </w:p>
    <w:p w:rsidR="00973553" w:rsidRDefault="00973553" w:rsidP="009735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Коефіцієнт плинності кадрів за 2018 рік складає 7,7.</w:t>
      </w:r>
    </w:p>
    <w:p w:rsidR="005540F8" w:rsidRDefault="00913EF6" w:rsidP="005540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із найважливіших факторів успішного розвитку та функціонування підприємства є персонал,</w:t>
      </w:r>
      <w:r w:rsidR="005540F8">
        <w:rPr>
          <w:rFonts w:ascii="Times New Roman" w:hAnsi="Times New Roman" w:cs="Times New Roman"/>
          <w:sz w:val="28"/>
          <w:szCs w:val="28"/>
        </w:rPr>
        <w:t xml:space="preserve"> їх освіта, кваліфікація та майстерність.</w:t>
      </w:r>
      <w:r w:rsidR="00435DD0">
        <w:rPr>
          <w:rFonts w:ascii="Times New Roman" w:hAnsi="Times New Roman" w:cs="Times New Roman"/>
          <w:sz w:val="28"/>
          <w:szCs w:val="28"/>
        </w:rPr>
        <w:t xml:space="preserve"> Керівництво підприємства докладає зусиль, щоб залучити до </w:t>
      </w:r>
      <w:r w:rsidR="00435DD0">
        <w:rPr>
          <w:rFonts w:ascii="Times New Roman" w:hAnsi="Times New Roman" w:cs="Times New Roman"/>
          <w:sz w:val="28"/>
          <w:szCs w:val="28"/>
        </w:rPr>
        <w:lastRenderedPageBreak/>
        <w:t xml:space="preserve">роботи тільки висококваліфікований персонал, щоб мати змогу більш ефективно </w:t>
      </w:r>
      <w:r w:rsidR="00D770BC">
        <w:rPr>
          <w:rFonts w:ascii="Times New Roman" w:hAnsi="Times New Roman" w:cs="Times New Roman"/>
          <w:sz w:val="28"/>
          <w:szCs w:val="28"/>
        </w:rPr>
        <w:t>виконувати завдання, які стоять перед підприємством – надання своєчасних та якісних послуг з теплопостачання на постачання гарячої води.</w:t>
      </w:r>
      <w:r w:rsidR="00435D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3553" w:rsidRPr="00E878BC" w:rsidRDefault="00973553" w:rsidP="005540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8BC">
        <w:rPr>
          <w:rFonts w:ascii="Times New Roman" w:hAnsi="Times New Roman" w:cs="Times New Roman"/>
          <w:sz w:val="28"/>
          <w:szCs w:val="28"/>
        </w:rPr>
        <w:t>Підвищення професійного рівня працівни</w:t>
      </w:r>
      <w:r>
        <w:rPr>
          <w:rFonts w:ascii="Times New Roman" w:hAnsi="Times New Roman" w:cs="Times New Roman"/>
          <w:sz w:val="28"/>
          <w:szCs w:val="28"/>
        </w:rPr>
        <w:t>ків – основа ефективного вико</w:t>
      </w:r>
      <w:r w:rsidRPr="00E878BC">
        <w:rPr>
          <w:rFonts w:ascii="Times New Roman" w:hAnsi="Times New Roman" w:cs="Times New Roman"/>
          <w:sz w:val="28"/>
          <w:szCs w:val="28"/>
        </w:rPr>
        <w:t xml:space="preserve">ристання виробничого кадрового потенціалу. </w:t>
      </w:r>
      <w:r w:rsidR="005540F8">
        <w:rPr>
          <w:rFonts w:ascii="Times New Roman" w:hAnsi="Times New Roman" w:cs="Times New Roman"/>
          <w:sz w:val="28"/>
          <w:szCs w:val="28"/>
        </w:rPr>
        <w:t>Працівники КП «</w:t>
      </w:r>
      <w:proofErr w:type="spellStart"/>
      <w:r w:rsidR="005540F8">
        <w:rPr>
          <w:rFonts w:ascii="Times New Roman" w:hAnsi="Times New Roman" w:cs="Times New Roman"/>
          <w:sz w:val="28"/>
          <w:szCs w:val="28"/>
        </w:rPr>
        <w:t>Теплоенерго</w:t>
      </w:r>
      <w:proofErr w:type="spellEnd"/>
      <w:r w:rsidR="005540F8">
        <w:rPr>
          <w:rFonts w:ascii="Times New Roman" w:hAnsi="Times New Roman" w:cs="Times New Roman"/>
          <w:sz w:val="28"/>
          <w:szCs w:val="28"/>
        </w:rPr>
        <w:t xml:space="preserve">» періодично проходять підготовку, перепідготовку і підвищення кваліфікації, відвідують </w:t>
      </w:r>
      <w:r w:rsidR="00D770BC">
        <w:rPr>
          <w:rFonts w:ascii="Times New Roman" w:hAnsi="Times New Roman" w:cs="Times New Roman"/>
          <w:sz w:val="28"/>
          <w:szCs w:val="28"/>
        </w:rPr>
        <w:t>навчальні семінари</w:t>
      </w:r>
      <w:r w:rsidR="00D770BC">
        <w:rPr>
          <w:rFonts w:ascii="Times New Roman" w:hAnsi="Times New Roman" w:cs="Times New Roman"/>
          <w:sz w:val="28"/>
          <w:szCs w:val="28"/>
        </w:rPr>
        <w:t xml:space="preserve"> та </w:t>
      </w:r>
      <w:r w:rsidR="00435DD0">
        <w:rPr>
          <w:rFonts w:ascii="Times New Roman" w:hAnsi="Times New Roman" w:cs="Times New Roman"/>
          <w:sz w:val="28"/>
          <w:szCs w:val="28"/>
        </w:rPr>
        <w:t>комунальні підприємства інших міст з метою обміну досвідом.</w:t>
      </w:r>
    </w:p>
    <w:p w:rsidR="00973553" w:rsidRDefault="00973553" w:rsidP="009735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2D51" w:rsidRDefault="00492D51" w:rsidP="0019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2D51" w:rsidRDefault="00492D51" w:rsidP="0019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2D51" w:rsidRDefault="00492D51" w:rsidP="0019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2D51" w:rsidRDefault="00492D51" w:rsidP="0019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2D51" w:rsidRDefault="00492D51" w:rsidP="0019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2D51" w:rsidRDefault="00492D51" w:rsidP="0019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A5FCB" w:rsidRDefault="00CA5FCB" w:rsidP="001954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5FCB" w:rsidRDefault="00CA5FCB" w:rsidP="001954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2FC3" w:rsidRDefault="00E82FC3" w:rsidP="001954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5413" w:rsidRDefault="00195413" w:rsidP="001954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37CA" w:rsidRDefault="007F37CA" w:rsidP="001954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70BC" w:rsidRDefault="00D770BC" w:rsidP="001954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70BC" w:rsidRDefault="00D770BC" w:rsidP="001954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70BC" w:rsidRDefault="00D770BC" w:rsidP="001954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70BC" w:rsidRDefault="00D770BC" w:rsidP="001954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70BC" w:rsidRDefault="00D770BC" w:rsidP="001954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70BC" w:rsidRDefault="00D770BC" w:rsidP="001954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70BC" w:rsidRDefault="00D770BC" w:rsidP="001954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70BC" w:rsidRDefault="00D770BC" w:rsidP="001954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70BC" w:rsidRDefault="00D770BC" w:rsidP="001954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70BC" w:rsidRDefault="00D770BC" w:rsidP="001954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70BC" w:rsidRDefault="00D770BC" w:rsidP="001954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70BC" w:rsidRDefault="00D770BC" w:rsidP="001954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70BC" w:rsidRDefault="00D770BC" w:rsidP="001954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70BC" w:rsidRDefault="00D770BC" w:rsidP="001954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70BC" w:rsidRDefault="00D770BC" w:rsidP="001954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37CA" w:rsidRDefault="007F37CA" w:rsidP="001954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417B" w:rsidRDefault="007B417B" w:rsidP="001954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417B" w:rsidRDefault="007B417B" w:rsidP="001954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417B" w:rsidRDefault="007B417B" w:rsidP="001954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2D51" w:rsidRPr="00492D51" w:rsidRDefault="00492D51" w:rsidP="001954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ІІ. </w:t>
      </w:r>
      <w:r w:rsidRPr="00492D51">
        <w:rPr>
          <w:rFonts w:ascii="Times New Roman" w:hAnsi="Times New Roman" w:cs="Times New Roman"/>
          <w:b/>
          <w:sz w:val="28"/>
          <w:szCs w:val="28"/>
        </w:rPr>
        <w:t>ОСНОВНІ ПІДСУМКИ</w:t>
      </w:r>
    </w:p>
    <w:p w:rsidR="00492D51" w:rsidRPr="00492D51" w:rsidRDefault="00492D51" w:rsidP="001954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492D51">
        <w:rPr>
          <w:rFonts w:ascii="Times New Roman" w:hAnsi="Times New Roman" w:cs="Times New Roman"/>
          <w:b/>
          <w:sz w:val="28"/>
          <w:szCs w:val="28"/>
        </w:rPr>
        <w:t>ДІЯЛЬНОСТІ ПІДПРИЄМСТВА</w:t>
      </w:r>
    </w:p>
    <w:p w:rsidR="00492D51" w:rsidRDefault="00492D51" w:rsidP="001954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ЗА 2018</w:t>
      </w:r>
      <w:r w:rsidRPr="00492D51">
        <w:rPr>
          <w:rFonts w:ascii="Times New Roman" w:hAnsi="Times New Roman" w:cs="Times New Roman"/>
          <w:b/>
          <w:sz w:val="28"/>
          <w:szCs w:val="28"/>
        </w:rPr>
        <w:t xml:space="preserve"> РІК</w:t>
      </w:r>
    </w:p>
    <w:p w:rsidR="00CA5FCB" w:rsidRDefault="00CA5FCB" w:rsidP="001954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2D51" w:rsidRPr="00195413" w:rsidRDefault="00492D51" w:rsidP="001954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5413">
        <w:rPr>
          <w:rFonts w:ascii="Times New Roman" w:hAnsi="Times New Roman" w:cs="Times New Roman"/>
          <w:b/>
          <w:sz w:val="28"/>
          <w:szCs w:val="28"/>
        </w:rPr>
        <w:t>Досягнення</w:t>
      </w:r>
    </w:p>
    <w:p w:rsidR="002839B1" w:rsidRDefault="00492D51" w:rsidP="0019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2D51">
        <w:rPr>
          <w:rFonts w:ascii="Times New Roman" w:hAnsi="Times New Roman" w:cs="Times New Roman"/>
          <w:sz w:val="28"/>
          <w:szCs w:val="28"/>
        </w:rPr>
        <w:t xml:space="preserve"> </w:t>
      </w:r>
      <w:r w:rsidR="00CB575D">
        <w:rPr>
          <w:rFonts w:ascii="Times New Roman" w:hAnsi="Times New Roman" w:cs="Times New Roman"/>
          <w:sz w:val="28"/>
          <w:szCs w:val="28"/>
        </w:rPr>
        <w:t>У</w:t>
      </w:r>
      <w:r w:rsidRPr="00492D51">
        <w:rPr>
          <w:rFonts w:ascii="Times New Roman" w:hAnsi="Times New Roman" w:cs="Times New Roman"/>
          <w:sz w:val="28"/>
          <w:szCs w:val="28"/>
        </w:rPr>
        <w:t xml:space="preserve"> звітному періоді</w:t>
      </w:r>
      <w:r w:rsidR="00CB575D">
        <w:rPr>
          <w:rFonts w:ascii="Times New Roman" w:hAnsi="Times New Roman" w:cs="Times New Roman"/>
          <w:sz w:val="28"/>
          <w:szCs w:val="28"/>
        </w:rPr>
        <w:t xml:space="preserve"> </w:t>
      </w:r>
      <w:r w:rsidR="00877FD5">
        <w:rPr>
          <w:rFonts w:ascii="Times New Roman" w:hAnsi="Times New Roman" w:cs="Times New Roman"/>
          <w:sz w:val="28"/>
          <w:szCs w:val="28"/>
        </w:rPr>
        <w:t xml:space="preserve">придбано </w:t>
      </w:r>
      <w:r w:rsidR="002839B1">
        <w:rPr>
          <w:rFonts w:ascii="Times New Roman" w:hAnsi="Times New Roman" w:cs="Times New Roman"/>
          <w:sz w:val="28"/>
          <w:szCs w:val="28"/>
        </w:rPr>
        <w:t>насосн</w:t>
      </w:r>
      <w:r w:rsidR="00877FD5">
        <w:rPr>
          <w:rFonts w:ascii="Times New Roman" w:hAnsi="Times New Roman" w:cs="Times New Roman"/>
          <w:sz w:val="28"/>
          <w:szCs w:val="28"/>
        </w:rPr>
        <w:t>е обладнання та водонагрівачі</w:t>
      </w:r>
      <w:r w:rsidR="003C02A4">
        <w:rPr>
          <w:rFonts w:ascii="Times New Roman" w:hAnsi="Times New Roman" w:cs="Times New Roman"/>
          <w:sz w:val="28"/>
          <w:szCs w:val="28"/>
        </w:rPr>
        <w:t>.</w:t>
      </w:r>
    </w:p>
    <w:p w:rsidR="00AF63EC" w:rsidRDefault="002839B1" w:rsidP="0019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 Проведено реконструкцію котельні «Пологовий будинок»</w:t>
      </w:r>
      <w:r w:rsidR="003C02A4">
        <w:rPr>
          <w:rFonts w:ascii="Times New Roman" w:hAnsi="Times New Roman" w:cs="Times New Roman"/>
          <w:sz w:val="28"/>
          <w:szCs w:val="28"/>
        </w:rPr>
        <w:t>.</w:t>
      </w:r>
    </w:p>
    <w:p w:rsidR="00492D51" w:rsidRDefault="00492D51" w:rsidP="0019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2D51">
        <w:rPr>
          <w:rFonts w:ascii="Times New Roman" w:hAnsi="Times New Roman" w:cs="Times New Roman"/>
          <w:sz w:val="28"/>
          <w:szCs w:val="28"/>
        </w:rPr>
        <w:t xml:space="preserve"> Виконано </w:t>
      </w:r>
      <w:r w:rsidR="00AF63EC">
        <w:rPr>
          <w:rFonts w:ascii="Times New Roman" w:hAnsi="Times New Roman" w:cs="Times New Roman"/>
          <w:sz w:val="28"/>
          <w:szCs w:val="28"/>
        </w:rPr>
        <w:t>встановлення придбаних лічильників тепла</w:t>
      </w:r>
      <w:r w:rsidR="003C02A4">
        <w:rPr>
          <w:rFonts w:ascii="Times New Roman" w:hAnsi="Times New Roman" w:cs="Times New Roman"/>
          <w:sz w:val="28"/>
          <w:szCs w:val="28"/>
        </w:rPr>
        <w:t>.</w:t>
      </w:r>
    </w:p>
    <w:p w:rsidR="008465B3" w:rsidRDefault="008465B3" w:rsidP="0019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2D51">
        <w:rPr>
          <w:rFonts w:ascii="Times New Roman" w:hAnsi="Times New Roman" w:cs="Times New Roman"/>
          <w:sz w:val="28"/>
          <w:szCs w:val="28"/>
        </w:rPr>
        <w:t xml:space="preserve"> Виконано </w:t>
      </w:r>
      <w:r>
        <w:rPr>
          <w:rFonts w:ascii="Times New Roman" w:hAnsi="Times New Roman" w:cs="Times New Roman"/>
          <w:sz w:val="28"/>
          <w:szCs w:val="28"/>
        </w:rPr>
        <w:t>встановлення придбаних лічильників холодної води на ЦТП.</w:t>
      </w:r>
    </w:p>
    <w:p w:rsidR="008465B3" w:rsidRDefault="008465B3" w:rsidP="0019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2D51">
        <w:rPr>
          <w:rFonts w:ascii="Times New Roman" w:hAnsi="Times New Roman" w:cs="Times New Roman"/>
          <w:sz w:val="28"/>
          <w:szCs w:val="28"/>
        </w:rPr>
        <w:t xml:space="preserve"> Виконано </w:t>
      </w:r>
      <w:r>
        <w:rPr>
          <w:rFonts w:ascii="Times New Roman" w:hAnsi="Times New Roman" w:cs="Times New Roman"/>
          <w:sz w:val="28"/>
          <w:szCs w:val="28"/>
        </w:rPr>
        <w:t xml:space="preserve">встановлення придбаних лічильників газу в квартирах інвалідів </w:t>
      </w:r>
      <w:r w:rsidR="0019541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1 групи загального захворювання.</w:t>
      </w:r>
    </w:p>
    <w:p w:rsidR="008465B3" w:rsidRDefault="00195413" w:rsidP="0019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</w:t>
      </w:r>
      <w:r w:rsidR="008465B3" w:rsidRPr="00492D51">
        <w:rPr>
          <w:rFonts w:ascii="Times New Roman" w:hAnsi="Times New Roman" w:cs="Times New Roman"/>
          <w:sz w:val="28"/>
          <w:szCs w:val="28"/>
        </w:rPr>
        <w:t>Викон</w:t>
      </w:r>
      <w:r w:rsidR="00897594">
        <w:rPr>
          <w:rFonts w:ascii="Times New Roman" w:hAnsi="Times New Roman" w:cs="Times New Roman"/>
          <w:sz w:val="28"/>
          <w:szCs w:val="28"/>
        </w:rPr>
        <w:t>ується</w:t>
      </w:r>
      <w:r w:rsidR="008465B3" w:rsidRPr="00492D51">
        <w:rPr>
          <w:rFonts w:ascii="Times New Roman" w:hAnsi="Times New Roman" w:cs="Times New Roman"/>
          <w:sz w:val="28"/>
          <w:szCs w:val="28"/>
        </w:rPr>
        <w:t xml:space="preserve"> </w:t>
      </w:r>
      <w:r w:rsidR="008465B3">
        <w:rPr>
          <w:rFonts w:ascii="Times New Roman" w:hAnsi="Times New Roman" w:cs="Times New Roman"/>
          <w:sz w:val="28"/>
          <w:szCs w:val="28"/>
        </w:rPr>
        <w:t>розробк</w:t>
      </w:r>
      <w:r w:rsidR="00897594">
        <w:rPr>
          <w:rFonts w:ascii="Times New Roman" w:hAnsi="Times New Roman" w:cs="Times New Roman"/>
          <w:sz w:val="28"/>
          <w:szCs w:val="28"/>
        </w:rPr>
        <w:t>а</w:t>
      </w:r>
      <w:r w:rsidR="008465B3">
        <w:rPr>
          <w:rFonts w:ascii="Times New Roman" w:hAnsi="Times New Roman" w:cs="Times New Roman"/>
          <w:sz w:val="28"/>
          <w:szCs w:val="28"/>
        </w:rPr>
        <w:t xml:space="preserve"> енергое</w:t>
      </w:r>
      <w:r>
        <w:rPr>
          <w:rFonts w:ascii="Times New Roman" w:hAnsi="Times New Roman" w:cs="Times New Roman"/>
          <w:sz w:val="28"/>
          <w:szCs w:val="28"/>
        </w:rPr>
        <w:t xml:space="preserve">фективної схеми теплопостачанню </w:t>
      </w:r>
      <w:r w:rsidR="008465B3">
        <w:rPr>
          <w:rFonts w:ascii="Times New Roman" w:hAnsi="Times New Roman" w:cs="Times New Roman"/>
          <w:sz w:val="28"/>
          <w:szCs w:val="28"/>
        </w:rPr>
        <w:t>м. Кременчука.</w:t>
      </w:r>
    </w:p>
    <w:p w:rsidR="00492D51" w:rsidRPr="00492D51" w:rsidRDefault="00492D51" w:rsidP="0019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2D51">
        <w:rPr>
          <w:rFonts w:ascii="Times New Roman" w:hAnsi="Times New Roman" w:cs="Times New Roman"/>
          <w:sz w:val="28"/>
          <w:szCs w:val="28"/>
        </w:rPr>
        <w:t> Встановлен</w:t>
      </w:r>
      <w:r w:rsidR="00897594">
        <w:rPr>
          <w:rFonts w:ascii="Times New Roman" w:hAnsi="Times New Roman" w:cs="Times New Roman"/>
          <w:sz w:val="28"/>
          <w:szCs w:val="28"/>
        </w:rPr>
        <w:t>і нові</w:t>
      </w:r>
      <w:r w:rsidRPr="00492D51">
        <w:rPr>
          <w:rFonts w:ascii="Times New Roman" w:hAnsi="Times New Roman" w:cs="Times New Roman"/>
          <w:sz w:val="28"/>
          <w:szCs w:val="28"/>
        </w:rPr>
        <w:t xml:space="preserve"> </w:t>
      </w:r>
      <w:r w:rsidR="00AF63EC">
        <w:rPr>
          <w:rFonts w:ascii="Times New Roman" w:hAnsi="Times New Roman" w:cs="Times New Roman"/>
          <w:sz w:val="28"/>
          <w:szCs w:val="28"/>
        </w:rPr>
        <w:t>димов</w:t>
      </w:r>
      <w:r w:rsidR="00897594">
        <w:rPr>
          <w:rFonts w:ascii="Times New Roman" w:hAnsi="Times New Roman" w:cs="Times New Roman"/>
          <w:sz w:val="28"/>
          <w:szCs w:val="28"/>
        </w:rPr>
        <w:t>і</w:t>
      </w:r>
      <w:r w:rsidR="00AF63EC">
        <w:rPr>
          <w:rFonts w:ascii="Times New Roman" w:hAnsi="Times New Roman" w:cs="Times New Roman"/>
          <w:sz w:val="28"/>
          <w:szCs w:val="28"/>
        </w:rPr>
        <w:t xml:space="preserve"> труб</w:t>
      </w:r>
      <w:r w:rsidR="00897594">
        <w:rPr>
          <w:rFonts w:ascii="Times New Roman" w:hAnsi="Times New Roman" w:cs="Times New Roman"/>
          <w:sz w:val="28"/>
          <w:szCs w:val="28"/>
        </w:rPr>
        <w:t>и</w:t>
      </w:r>
      <w:r w:rsidR="00AF63EC">
        <w:rPr>
          <w:rFonts w:ascii="Times New Roman" w:hAnsi="Times New Roman" w:cs="Times New Roman"/>
          <w:sz w:val="28"/>
          <w:szCs w:val="28"/>
        </w:rPr>
        <w:t xml:space="preserve"> на котельні за </w:t>
      </w:r>
      <w:proofErr w:type="spellStart"/>
      <w:r w:rsidR="00AF63EC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AF63EC">
        <w:rPr>
          <w:rFonts w:ascii="Times New Roman" w:hAnsi="Times New Roman" w:cs="Times New Roman"/>
          <w:sz w:val="28"/>
          <w:szCs w:val="28"/>
        </w:rPr>
        <w:t xml:space="preserve"> вул. Мічуріна 89-А в </w:t>
      </w:r>
      <w:r w:rsidR="007B417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F63EC">
        <w:rPr>
          <w:rFonts w:ascii="Times New Roman" w:hAnsi="Times New Roman" w:cs="Times New Roman"/>
          <w:sz w:val="28"/>
          <w:szCs w:val="28"/>
        </w:rPr>
        <w:t>м.</w:t>
      </w:r>
      <w:r w:rsidR="007B41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63EC">
        <w:rPr>
          <w:rFonts w:ascii="Times New Roman" w:hAnsi="Times New Roman" w:cs="Times New Roman"/>
          <w:sz w:val="28"/>
          <w:szCs w:val="28"/>
        </w:rPr>
        <w:t>Кременчуці</w:t>
      </w:r>
      <w:proofErr w:type="spellEnd"/>
      <w:r w:rsidR="00AF63EC">
        <w:rPr>
          <w:rFonts w:ascii="Times New Roman" w:hAnsi="Times New Roman" w:cs="Times New Roman"/>
          <w:sz w:val="28"/>
          <w:szCs w:val="28"/>
        </w:rPr>
        <w:t>.</w:t>
      </w:r>
    </w:p>
    <w:p w:rsidR="00492D51" w:rsidRPr="00492D51" w:rsidRDefault="008465B3" w:rsidP="0019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 Виконано</w:t>
      </w:r>
      <w:r w:rsidR="00492D51" w:rsidRPr="00492D51">
        <w:rPr>
          <w:rFonts w:ascii="Times New Roman" w:hAnsi="Times New Roman" w:cs="Times New Roman"/>
          <w:sz w:val="28"/>
          <w:szCs w:val="28"/>
        </w:rPr>
        <w:t xml:space="preserve"> </w:t>
      </w:r>
      <w:r w:rsidR="00CB575D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аміну</w:t>
      </w:r>
      <w:r w:rsidRPr="008465B3">
        <w:rPr>
          <w:rFonts w:ascii="Times New Roman" w:hAnsi="Times New Roman" w:cs="Times New Roman"/>
          <w:sz w:val="28"/>
          <w:szCs w:val="28"/>
        </w:rPr>
        <w:t xml:space="preserve"> аварійних ділянок гарячого водопостачання і централізованого опалення</w:t>
      </w:r>
      <w:r w:rsidR="00CB575D">
        <w:rPr>
          <w:rFonts w:ascii="Times New Roman" w:hAnsi="Times New Roman" w:cs="Times New Roman"/>
          <w:sz w:val="28"/>
          <w:szCs w:val="28"/>
        </w:rPr>
        <w:t xml:space="preserve"> в кількості </w:t>
      </w:r>
      <w:r w:rsidR="00776161" w:rsidRPr="00776161">
        <w:rPr>
          <w:rFonts w:ascii="Times New Roman" w:hAnsi="Times New Roman" w:cs="Times New Roman"/>
          <w:color w:val="000000" w:themeColor="text1"/>
          <w:sz w:val="28"/>
          <w:szCs w:val="28"/>
        </w:rPr>
        <w:t>4 814,692</w:t>
      </w:r>
      <w:r w:rsidR="00CB575D" w:rsidRPr="00776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B575D" w:rsidRPr="00CB575D">
        <w:rPr>
          <w:rFonts w:ascii="Times New Roman" w:hAnsi="Times New Roman" w:cs="Times New Roman"/>
          <w:sz w:val="28"/>
          <w:szCs w:val="28"/>
        </w:rPr>
        <w:t>м.</w:t>
      </w:r>
    </w:p>
    <w:p w:rsidR="001200AD" w:rsidRDefault="00492D51" w:rsidP="0019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2D51">
        <w:rPr>
          <w:rFonts w:ascii="Times New Roman" w:hAnsi="Times New Roman" w:cs="Times New Roman"/>
          <w:sz w:val="28"/>
          <w:szCs w:val="28"/>
        </w:rPr>
        <w:t xml:space="preserve"> </w:t>
      </w:r>
      <w:r w:rsidR="001200AD">
        <w:rPr>
          <w:rFonts w:ascii="Times New Roman" w:hAnsi="Times New Roman" w:cs="Times New Roman"/>
          <w:sz w:val="28"/>
          <w:szCs w:val="28"/>
        </w:rPr>
        <w:t>П</w:t>
      </w:r>
      <w:r w:rsidR="001200AD" w:rsidRPr="001200AD">
        <w:rPr>
          <w:rFonts w:ascii="Times New Roman" w:hAnsi="Times New Roman" w:cs="Times New Roman"/>
          <w:sz w:val="28"/>
          <w:szCs w:val="28"/>
        </w:rPr>
        <w:t>ров</w:t>
      </w:r>
      <w:r w:rsidR="007B417B">
        <w:rPr>
          <w:rFonts w:ascii="Times New Roman" w:hAnsi="Times New Roman" w:cs="Times New Roman"/>
          <w:sz w:val="28"/>
          <w:szCs w:val="28"/>
        </w:rPr>
        <w:t>едені  відкриті торги</w:t>
      </w:r>
      <w:r w:rsidR="001200AD" w:rsidRPr="001200AD">
        <w:rPr>
          <w:rFonts w:ascii="Times New Roman" w:hAnsi="Times New Roman" w:cs="Times New Roman"/>
          <w:sz w:val="28"/>
          <w:szCs w:val="28"/>
        </w:rPr>
        <w:t xml:space="preserve"> на електронному майданчику системи </w:t>
      </w:r>
      <w:proofErr w:type="spellStart"/>
      <w:r w:rsidR="001200AD" w:rsidRPr="001200AD">
        <w:rPr>
          <w:rFonts w:ascii="Times New Roman" w:hAnsi="Times New Roman" w:cs="Times New Roman"/>
          <w:sz w:val="28"/>
          <w:szCs w:val="28"/>
        </w:rPr>
        <w:t>ProZorro</w:t>
      </w:r>
      <w:proofErr w:type="spellEnd"/>
      <w:r w:rsidR="001200AD" w:rsidRPr="001200AD">
        <w:rPr>
          <w:rFonts w:ascii="Times New Roman" w:hAnsi="Times New Roman" w:cs="Times New Roman"/>
          <w:sz w:val="28"/>
          <w:szCs w:val="28"/>
        </w:rPr>
        <w:t>, які пройшли успішно та мають статус «завершено»</w:t>
      </w:r>
      <w:r w:rsidR="001200AD">
        <w:rPr>
          <w:rFonts w:ascii="Times New Roman" w:hAnsi="Times New Roman" w:cs="Times New Roman"/>
          <w:sz w:val="28"/>
          <w:szCs w:val="28"/>
        </w:rPr>
        <w:t>.</w:t>
      </w:r>
    </w:p>
    <w:p w:rsidR="001200AD" w:rsidRDefault="001200AD" w:rsidP="0019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7E58" w:rsidRDefault="00067E58" w:rsidP="001954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7E58">
        <w:rPr>
          <w:rFonts w:ascii="Times New Roman" w:hAnsi="Times New Roman" w:cs="Times New Roman"/>
          <w:b/>
          <w:sz w:val="28"/>
          <w:szCs w:val="28"/>
        </w:rPr>
        <w:t>Проблеми</w:t>
      </w:r>
    </w:p>
    <w:p w:rsidR="00067E58" w:rsidRPr="00067E58" w:rsidRDefault="00067E58" w:rsidP="0019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7E58">
        <w:rPr>
          <w:rFonts w:ascii="Times New Roman" w:hAnsi="Times New Roman" w:cs="Times New Roman"/>
          <w:sz w:val="28"/>
          <w:szCs w:val="28"/>
        </w:rPr>
        <w:t xml:space="preserve"> Зношеність основного обладнання, що </w:t>
      </w:r>
      <w:r w:rsidR="004B7254">
        <w:rPr>
          <w:rFonts w:ascii="Times New Roman" w:hAnsi="Times New Roman" w:cs="Times New Roman"/>
          <w:sz w:val="28"/>
          <w:szCs w:val="28"/>
        </w:rPr>
        <w:t>перебуває в експлуатації, набли</w:t>
      </w:r>
      <w:r w:rsidRPr="00067E58">
        <w:rPr>
          <w:rFonts w:ascii="Times New Roman" w:hAnsi="Times New Roman" w:cs="Times New Roman"/>
          <w:sz w:val="28"/>
          <w:szCs w:val="28"/>
        </w:rPr>
        <w:t xml:space="preserve">жається до </w:t>
      </w:r>
      <w:r w:rsidRPr="00E669D6">
        <w:rPr>
          <w:rFonts w:ascii="Times New Roman" w:hAnsi="Times New Roman" w:cs="Times New Roman"/>
          <w:sz w:val="28"/>
          <w:szCs w:val="28"/>
        </w:rPr>
        <w:t>70%;</w:t>
      </w:r>
      <w:r w:rsidRPr="00067E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7E58" w:rsidRDefault="00067E58" w:rsidP="0019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7E58">
        <w:rPr>
          <w:rFonts w:ascii="Times New Roman" w:hAnsi="Times New Roman" w:cs="Times New Roman"/>
          <w:sz w:val="28"/>
          <w:szCs w:val="28"/>
        </w:rPr>
        <w:t> Незадовільний техн</w:t>
      </w:r>
      <w:r>
        <w:rPr>
          <w:rFonts w:ascii="Times New Roman" w:hAnsi="Times New Roman" w:cs="Times New Roman"/>
          <w:sz w:val="28"/>
          <w:szCs w:val="28"/>
        </w:rPr>
        <w:t xml:space="preserve">ічний стан мережевих </w:t>
      </w:r>
      <w:r w:rsidRPr="00067E58">
        <w:rPr>
          <w:rFonts w:ascii="Times New Roman" w:hAnsi="Times New Roman" w:cs="Times New Roman"/>
          <w:sz w:val="28"/>
          <w:szCs w:val="28"/>
        </w:rPr>
        <w:t xml:space="preserve">систем теплопостачання, що призводить до нераціональних втрат теплової енергії та зниження якості послуг з централізованого опалення і постачання гарячої води. </w:t>
      </w:r>
    </w:p>
    <w:p w:rsidR="00067E58" w:rsidRPr="00067E58" w:rsidRDefault="00067E58" w:rsidP="0019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7E58">
        <w:rPr>
          <w:rFonts w:ascii="Times New Roman" w:hAnsi="Times New Roman" w:cs="Times New Roman"/>
          <w:sz w:val="28"/>
          <w:szCs w:val="28"/>
        </w:rPr>
        <w:t xml:space="preserve"> </w:t>
      </w:r>
      <w:r w:rsidR="00CB575D">
        <w:rPr>
          <w:rFonts w:ascii="Times New Roman" w:hAnsi="Times New Roman" w:cs="Times New Roman"/>
          <w:sz w:val="28"/>
          <w:szCs w:val="28"/>
        </w:rPr>
        <w:t>Неможливість своєчасного</w:t>
      </w:r>
      <w:r w:rsidRPr="00067E58">
        <w:rPr>
          <w:rFonts w:ascii="Times New Roman" w:hAnsi="Times New Roman" w:cs="Times New Roman"/>
          <w:sz w:val="28"/>
          <w:szCs w:val="28"/>
        </w:rPr>
        <w:t xml:space="preserve"> коригування тарифів на теплову енергію, послуги з цен</w:t>
      </w:r>
      <w:r w:rsidR="006103A1">
        <w:rPr>
          <w:rFonts w:ascii="Times New Roman" w:hAnsi="Times New Roman" w:cs="Times New Roman"/>
          <w:sz w:val="28"/>
          <w:szCs w:val="28"/>
        </w:rPr>
        <w:t>тралізованого опалення та поста</w:t>
      </w:r>
      <w:r w:rsidRPr="00067E58">
        <w:rPr>
          <w:rFonts w:ascii="Times New Roman" w:hAnsi="Times New Roman" w:cs="Times New Roman"/>
          <w:sz w:val="28"/>
          <w:szCs w:val="28"/>
        </w:rPr>
        <w:t xml:space="preserve">чання гарячої води </w:t>
      </w:r>
      <w:r w:rsidR="00CB575D">
        <w:rPr>
          <w:rFonts w:ascii="Times New Roman" w:hAnsi="Times New Roman" w:cs="Times New Roman"/>
          <w:sz w:val="28"/>
          <w:szCs w:val="28"/>
        </w:rPr>
        <w:t>у зв’язку з</w:t>
      </w:r>
      <w:r w:rsidRPr="00067E58">
        <w:rPr>
          <w:rFonts w:ascii="Times New Roman" w:hAnsi="Times New Roman" w:cs="Times New Roman"/>
          <w:sz w:val="28"/>
          <w:szCs w:val="28"/>
        </w:rPr>
        <w:t xml:space="preserve"> </w:t>
      </w:r>
      <w:r w:rsidR="00CB575D">
        <w:rPr>
          <w:rFonts w:ascii="Times New Roman" w:hAnsi="Times New Roman" w:cs="Times New Roman"/>
          <w:sz w:val="28"/>
          <w:szCs w:val="28"/>
        </w:rPr>
        <w:t xml:space="preserve">тривалим терміном розгляду </w:t>
      </w:r>
      <w:r w:rsidR="00897594">
        <w:rPr>
          <w:rFonts w:ascii="Times New Roman" w:hAnsi="Times New Roman" w:cs="Times New Roman"/>
          <w:sz w:val="28"/>
          <w:szCs w:val="28"/>
        </w:rPr>
        <w:t xml:space="preserve">розрахунків </w:t>
      </w:r>
      <w:r w:rsidR="00CB575D">
        <w:rPr>
          <w:rFonts w:ascii="Times New Roman" w:hAnsi="Times New Roman" w:cs="Times New Roman"/>
          <w:sz w:val="28"/>
          <w:szCs w:val="28"/>
        </w:rPr>
        <w:t>органами місцевого самоврядування.</w:t>
      </w:r>
    </w:p>
    <w:p w:rsidR="00752AD9" w:rsidRDefault="00752AD9" w:rsidP="0019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7E58">
        <w:rPr>
          <w:rFonts w:ascii="Times New Roman" w:hAnsi="Times New Roman" w:cs="Times New Roman"/>
          <w:sz w:val="28"/>
          <w:szCs w:val="28"/>
        </w:rPr>
        <w:t xml:space="preserve"> </w:t>
      </w:r>
      <w:r>
        <w:rPr>
          <w:rFonts w:ascii="Times New Roman" w:hAnsi="Times New Roman" w:cs="Times New Roman"/>
          <w:sz w:val="28"/>
          <w:szCs w:val="28"/>
        </w:rPr>
        <w:t xml:space="preserve">Не 100% </w:t>
      </w:r>
      <w:r w:rsidR="00CB575D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лаштування житлових будинків засобами обліку теплової енергії.</w:t>
      </w:r>
    </w:p>
    <w:p w:rsidR="00752AD9" w:rsidRDefault="00752AD9" w:rsidP="0019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A5FCB" w:rsidRDefault="00CA5FCB" w:rsidP="001954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5413" w:rsidRDefault="00195413" w:rsidP="001954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5413" w:rsidRDefault="00195413" w:rsidP="001954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5413" w:rsidRDefault="00195413" w:rsidP="001954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37CA" w:rsidRDefault="007F37CA" w:rsidP="001954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37CA" w:rsidRDefault="007F37CA" w:rsidP="001954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37CA" w:rsidRDefault="007F37CA" w:rsidP="001954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7E58" w:rsidRPr="00067E58" w:rsidRDefault="00067E58" w:rsidP="001954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7E58">
        <w:rPr>
          <w:rFonts w:ascii="Times New Roman" w:hAnsi="Times New Roman" w:cs="Times New Roman"/>
          <w:b/>
          <w:sz w:val="28"/>
          <w:szCs w:val="28"/>
        </w:rPr>
        <w:t>ІІІ. ВИРОБНИЧА ДІЯЛЬНІСТЬ</w:t>
      </w:r>
    </w:p>
    <w:p w:rsidR="00067E58" w:rsidRDefault="00067E58" w:rsidP="001954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7E58">
        <w:rPr>
          <w:rFonts w:ascii="Times New Roman" w:hAnsi="Times New Roman" w:cs="Times New Roman"/>
          <w:b/>
          <w:sz w:val="28"/>
          <w:szCs w:val="28"/>
        </w:rPr>
        <w:t>ПІДПРИЄМСТВА</w:t>
      </w:r>
    </w:p>
    <w:p w:rsidR="00067E58" w:rsidRPr="00067E58" w:rsidRDefault="00067E58" w:rsidP="001954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7E58" w:rsidRDefault="00067E58" w:rsidP="001954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7E58">
        <w:rPr>
          <w:rFonts w:ascii="Times New Roman" w:hAnsi="Times New Roman" w:cs="Times New Roman"/>
          <w:b/>
          <w:sz w:val="28"/>
          <w:szCs w:val="28"/>
        </w:rPr>
        <w:t>Технічний стан об’єктів теплопостачання</w:t>
      </w:r>
    </w:p>
    <w:p w:rsidR="00CA5FCB" w:rsidRDefault="00CE6B61" w:rsidP="0019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CE6B61" w:rsidRDefault="00CE6B61" w:rsidP="008975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B61">
        <w:rPr>
          <w:rFonts w:ascii="Times New Roman" w:hAnsi="Times New Roman" w:cs="Times New Roman"/>
          <w:sz w:val="28"/>
          <w:szCs w:val="28"/>
        </w:rPr>
        <w:t>Інженерні мережі в процесі знош</w:t>
      </w:r>
      <w:r w:rsidR="00CB575D">
        <w:rPr>
          <w:rFonts w:ascii="Times New Roman" w:hAnsi="Times New Roman" w:cs="Times New Roman"/>
          <w:sz w:val="28"/>
          <w:szCs w:val="28"/>
        </w:rPr>
        <w:t>ення</w:t>
      </w:r>
      <w:r w:rsidRPr="00CE6B61">
        <w:rPr>
          <w:rFonts w:ascii="Times New Roman" w:hAnsi="Times New Roman" w:cs="Times New Roman"/>
          <w:sz w:val="28"/>
          <w:szCs w:val="28"/>
        </w:rPr>
        <w:t xml:space="preserve"> потребують оновлення та </w:t>
      </w:r>
      <w:r w:rsidR="00E4217A">
        <w:rPr>
          <w:rFonts w:ascii="Times New Roman" w:hAnsi="Times New Roman" w:cs="Times New Roman"/>
          <w:sz w:val="28"/>
          <w:szCs w:val="28"/>
        </w:rPr>
        <w:t xml:space="preserve">своєчасного </w:t>
      </w:r>
      <w:r w:rsidRPr="00CE6B61">
        <w:rPr>
          <w:rFonts w:ascii="Times New Roman" w:hAnsi="Times New Roman" w:cs="Times New Roman"/>
          <w:sz w:val="28"/>
          <w:szCs w:val="28"/>
        </w:rPr>
        <w:t xml:space="preserve">виконання ремонтних робіт. </w:t>
      </w:r>
      <w:r w:rsidR="00897594">
        <w:rPr>
          <w:rFonts w:ascii="Times New Roman" w:hAnsi="Times New Roman" w:cs="Times New Roman"/>
          <w:sz w:val="28"/>
          <w:szCs w:val="28"/>
        </w:rPr>
        <w:t>Близько</w:t>
      </w:r>
      <w:r w:rsidRPr="00CE6B61">
        <w:rPr>
          <w:rFonts w:ascii="Times New Roman" w:hAnsi="Times New Roman" w:cs="Times New Roman"/>
          <w:sz w:val="28"/>
          <w:szCs w:val="28"/>
        </w:rPr>
        <w:t xml:space="preserve"> 70% трубопроводів вичерпали терміни експлуатації та фізично зношені, потребують значних матеріальних витрат на підтримання їх в робочому стані і можуть бути небезпечними у подальшій експлуатації.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226D" w:rsidRDefault="00067E58" w:rsidP="008975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E58">
        <w:rPr>
          <w:rFonts w:ascii="Times New Roman" w:hAnsi="Times New Roman" w:cs="Times New Roman"/>
          <w:sz w:val="28"/>
          <w:szCs w:val="28"/>
        </w:rPr>
        <w:t>Для підвищення якості послуг та подовження терміну експлуатації на надземних ділянках підприємство виконує роботи з оновлення</w:t>
      </w:r>
      <w:r w:rsidR="00195413">
        <w:rPr>
          <w:rFonts w:ascii="Times New Roman" w:hAnsi="Times New Roman" w:cs="Times New Roman"/>
          <w:sz w:val="28"/>
          <w:szCs w:val="28"/>
        </w:rPr>
        <w:t xml:space="preserve"> </w:t>
      </w:r>
      <w:r w:rsidRPr="00067E58">
        <w:rPr>
          <w:rFonts w:ascii="Times New Roman" w:hAnsi="Times New Roman" w:cs="Times New Roman"/>
          <w:sz w:val="28"/>
          <w:szCs w:val="28"/>
        </w:rPr>
        <w:t>теплової ізоляції</w:t>
      </w:r>
      <w:r w:rsidR="00CE6B61">
        <w:rPr>
          <w:rFonts w:ascii="Times New Roman" w:hAnsi="Times New Roman" w:cs="Times New Roman"/>
          <w:sz w:val="28"/>
          <w:szCs w:val="28"/>
        </w:rPr>
        <w:t>.</w:t>
      </w:r>
      <w:r w:rsidR="00CE6B61" w:rsidRPr="00CE6B61">
        <w:t xml:space="preserve"> </w:t>
      </w:r>
    </w:p>
    <w:p w:rsidR="00CE6B61" w:rsidRPr="00CE6B61" w:rsidRDefault="00CE6B61" w:rsidP="008975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B61">
        <w:rPr>
          <w:rFonts w:ascii="Times New Roman" w:hAnsi="Times New Roman" w:cs="Times New Roman"/>
          <w:sz w:val="28"/>
          <w:szCs w:val="28"/>
        </w:rPr>
        <w:t>Постійно триває робота з оновлення н</w:t>
      </w:r>
      <w:r w:rsidR="00BB226D">
        <w:rPr>
          <w:rFonts w:ascii="Times New Roman" w:hAnsi="Times New Roman" w:cs="Times New Roman"/>
          <w:sz w:val="28"/>
          <w:szCs w:val="28"/>
        </w:rPr>
        <w:t>асосного парку підприємства шля</w:t>
      </w:r>
      <w:r w:rsidRPr="00CE6B61">
        <w:rPr>
          <w:rFonts w:ascii="Times New Roman" w:hAnsi="Times New Roman" w:cs="Times New Roman"/>
          <w:sz w:val="28"/>
          <w:szCs w:val="28"/>
        </w:rPr>
        <w:t>хом впровадження енергоефекти</w:t>
      </w:r>
      <w:r w:rsidR="00BB226D">
        <w:rPr>
          <w:rFonts w:ascii="Times New Roman" w:hAnsi="Times New Roman" w:cs="Times New Roman"/>
          <w:sz w:val="28"/>
          <w:szCs w:val="28"/>
        </w:rPr>
        <w:t xml:space="preserve">вних сучасних насосних агрегатів. У </w:t>
      </w:r>
      <w:r w:rsidR="0019541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B226D">
        <w:rPr>
          <w:rFonts w:ascii="Times New Roman" w:hAnsi="Times New Roman" w:cs="Times New Roman"/>
          <w:sz w:val="28"/>
          <w:szCs w:val="28"/>
        </w:rPr>
        <w:t>2018</w:t>
      </w:r>
      <w:r w:rsidRPr="00CE6B61">
        <w:rPr>
          <w:rFonts w:ascii="Times New Roman" w:hAnsi="Times New Roman" w:cs="Times New Roman"/>
          <w:sz w:val="28"/>
          <w:szCs w:val="28"/>
        </w:rPr>
        <w:t xml:space="preserve"> році </w:t>
      </w:r>
      <w:r w:rsidR="00BB226D">
        <w:rPr>
          <w:rFonts w:ascii="Times New Roman" w:hAnsi="Times New Roman" w:cs="Times New Roman"/>
          <w:sz w:val="28"/>
          <w:szCs w:val="28"/>
        </w:rPr>
        <w:t>замінено 10</w:t>
      </w:r>
      <w:r w:rsidRPr="00CE6B61">
        <w:rPr>
          <w:rFonts w:ascii="Times New Roman" w:hAnsi="Times New Roman" w:cs="Times New Roman"/>
          <w:sz w:val="28"/>
          <w:szCs w:val="28"/>
        </w:rPr>
        <w:t xml:space="preserve"> насосів різного призначення.</w:t>
      </w:r>
    </w:p>
    <w:p w:rsidR="00CA5FCB" w:rsidRDefault="00CA5FCB" w:rsidP="001954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217A" w:rsidRDefault="00E4217A" w:rsidP="001954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217A" w:rsidRDefault="00E4217A" w:rsidP="001954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217A" w:rsidRDefault="00E4217A" w:rsidP="001954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217A" w:rsidRDefault="00E4217A" w:rsidP="001954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77A5" w:rsidRDefault="008977A5" w:rsidP="001954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77A5" w:rsidRDefault="008977A5" w:rsidP="001954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217A" w:rsidRDefault="00E4217A" w:rsidP="001954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7594" w:rsidRDefault="00897594" w:rsidP="001954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7594" w:rsidRDefault="00897594" w:rsidP="001954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7594" w:rsidRDefault="00897594" w:rsidP="001954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7594" w:rsidRDefault="00897594" w:rsidP="001954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7594" w:rsidRDefault="00897594" w:rsidP="001954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7594" w:rsidRDefault="00897594" w:rsidP="001954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7594" w:rsidRDefault="00897594" w:rsidP="001954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7594" w:rsidRDefault="00897594" w:rsidP="001954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7594" w:rsidRDefault="00897594" w:rsidP="001954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7594" w:rsidRDefault="00897594" w:rsidP="001954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7594" w:rsidRDefault="00897594" w:rsidP="001954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7594" w:rsidRDefault="00897594" w:rsidP="001954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7594" w:rsidRDefault="00897594" w:rsidP="001954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217A" w:rsidRDefault="00E4217A" w:rsidP="001954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226D" w:rsidRDefault="00BB226D" w:rsidP="001954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226D">
        <w:rPr>
          <w:rFonts w:ascii="Times New Roman" w:hAnsi="Times New Roman" w:cs="Times New Roman"/>
          <w:b/>
          <w:sz w:val="28"/>
          <w:szCs w:val="28"/>
        </w:rPr>
        <w:t>ІV. ЗБУТ ТЕПЛОВОЇ ЕНЕРГІЇ</w:t>
      </w:r>
    </w:p>
    <w:p w:rsidR="00CA5FCB" w:rsidRDefault="00CA5FCB" w:rsidP="0019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226D" w:rsidRDefault="00395E60" w:rsidP="001954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2018</w:t>
      </w:r>
      <w:r w:rsidR="00BB226D" w:rsidRPr="00BB226D">
        <w:rPr>
          <w:rFonts w:ascii="Times New Roman" w:hAnsi="Times New Roman" w:cs="Times New Roman"/>
          <w:sz w:val="28"/>
          <w:szCs w:val="28"/>
        </w:rPr>
        <w:t xml:space="preserve"> році обсяг реалізації споживачам теплової енергії, послуг з централізованого опалення та постачання гарячої води у грошовому виразі склав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2914">
        <w:rPr>
          <w:rFonts w:ascii="Times New Roman" w:hAnsi="Times New Roman" w:cs="Times New Roman"/>
          <w:sz w:val="28"/>
          <w:szCs w:val="28"/>
        </w:rPr>
        <w:t>171</w:t>
      </w:r>
      <w:r w:rsidR="00897594">
        <w:rPr>
          <w:rFonts w:ascii="Times New Roman" w:hAnsi="Times New Roman" w:cs="Times New Roman"/>
          <w:sz w:val="28"/>
          <w:szCs w:val="28"/>
        </w:rPr>
        <w:t xml:space="preserve"> </w:t>
      </w:r>
      <w:r w:rsidR="003C2914">
        <w:rPr>
          <w:rFonts w:ascii="Times New Roman" w:hAnsi="Times New Roman" w:cs="Times New Roman"/>
          <w:sz w:val="28"/>
          <w:szCs w:val="28"/>
        </w:rPr>
        <w:t>789,601 тис.</w:t>
      </w:r>
      <w:r w:rsidR="00776161">
        <w:rPr>
          <w:rFonts w:ascii="Times New Roman" w:hAnsi="Times New Roman" w:cs="Times New Roman"/>
          <w:sz w:val="28"/>
          <w:szCs w:val="28"/>
        </w:rPr>
        <w:t xml:space="preserve"> </w:t>
      </w:r>
      <w:r w:rsidR="00BB226D" w:rsidRPr="00BB226D">
        <w:rPr>
          <w:rFonts w:ascii="Times New Roman" w:hAnsi="Times New Roman" w:cs="Times New Roman"/>
          <w:sz w:val="28"/>
          <w:szCs w:val="28"/>
        </w:rPr>
        <w:t>грн</w:t>
      </w:r>
      <w:r w:rsidR="003C2914">
        <w:rPr>
          <w:rFonts w:ascii="Times New Roman" w:hAnsi="Times New Roman" w:cs="Times New Roman"/>
          <w:sz w:val="28"/>
          <w:szCs w:val="28"/>
        </w:rPr>
        <w:t>.</w:t>
      </w:r>
      <w:r w:rsidR="00BB226D" w:rsidRPr="00BB226D">
        <w:rPr>
          <w:rFonts w:ascii="Times New Roman" w:hAnsi="Times New Roman" w:cs="Times New Roman"/>
          <w:sz w:val="28"/>
          <w:szCs w:val="28"/>
        </w:rPr>
        <w:t xml:space="preserve"> (табл. 1).</w:t>
      </w:r>
    </w:p>
    <w:p w:rsidR="003C2914" w:rsidRDefault="003C2914" w:rsidP="0019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2914" w:rsidRDefault="003C2914" w:rsidP="008975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C2914">
        <w:rPr>
          <w:noProof/>
          <w:lang w:val="ru-RU" w:eastAsia="ru-RU"/>
        </w:rPr>
        <w:drawing>
          <wp:inline distT="0" distB="0" distL="0" distR="0" wp14:anchorId="4E54D690" wp14:editId="27B823B0">
            <wp:extent cx="6120130" cy="4857967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857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914" w:rsidRDefault="003C2914" w:rsidP="0019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226D" w:rsidRDefault="00BB226D" w:rsidP="001954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26D">
        <w:rPr>
          <w:rFonts w:ascii="Times New Roman" w:hAnsi="Times New Roman" w:cs="Times New Roman"/>
          <w:sz w:val="28"/>
          <w:szCs w:val="28"/>
        </w:rPr>
        <w:t xml:space="preserve">Загалом, протягом звітного періоду споживачам відпущено </w:t>
      </w:r>
      <w:r w:rsidR="008977A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7616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C2914">
        <w:rPr>
          <w:rFonts w:ascii="Times New Roman" w:hAnsi="Times New Roman" w:cs="Times New Roman"/>
          <w:sz w:val="28"/>
          <w:szCs w:val="28"/>
        </w:rPr>
        <w:t>1</w:t>
      </w:r>
      <w:r w:rsidR="00776161">
        <w:rPr>
          <w:rFonts w:ascii="Times New Roman" w:hAnsi="Times New Roman" w:cs="Times New Roman"/>
          <w:sz w:val="28"/>
          <w:szCs w:val="28"/>
        </w:rPr>
        <w:t>13,</w:t>
      </w:r>
      <w:r w:rsidR="007B066B">
        <w:rPr>
          <w:rFonts w:ascii="Times New Roman" w:hAnsi="Times New Roman" w:cs="Times New Roman"/>
          <w:sz w:val="28"/>
          <w:szCs w:val="28"/>
        </w:rPr>
        <w:t>238</w:t>
      </w:r>
      <w:r w:rsidRPr="00BB226D">
        <w:rPr>
          <w:rFonts w:ascii="Times New Roman" w:hAnsi="Times New Roman" w:cs="Times New Roman"/>
          <w:sz w:val="28"/>
          <w:szCs w:val="28"/>
        </w:rPr>
        <w:t xml:space="preserve"> тис.</w:t>
      </w:r>
      <w:r w:rsidR="007761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26D">
        <w:rPr>
          <w:rFonts w:ascii="Times New Roman" w:hAnsi="Times New Roman" w:cs="Times New Roman"/>
          <w:sz w:val="28"/>
          <w:szCs w:val="28"/>
        </w:rPr>
        <w:t>Гкал</w:t>
      </w:r>
      <w:proofErr w:type="spellEnd"/>
      <w:r w:rsidR="001C1EB6">
        <w:rPr>
          <w:rFonts w:ascii="Times New Roman" w:hAnsi="Times New Roman" w:cs="Times New Roman"/>
          <w:sz w:val="28"/>
          <w:szCs w:val="28"/>
        </w:rPr>
        <w:t xml:space="preserve"> </w:t>
      </w:r>
      <w:r w:rsidRPr="00BB226D">
        <w:rPr>
          <w:rFonts w:ascii="Times New Roman" w:hAnsi="Times New Roman" w:cs="Times New Roman"/>
          <w:sz w:val="28"/>
          <w:szCs w:val="28"/>
        </w:rPr>
        <w:t>теплової енергії на централізоване опалення та централізоване постачання</w:t>
      </w:r>
      <w:r w:rsidR="003C2914">
        <w:rPr>
          <w:rFonts w:ascii="Times New Roman" w:hAnsi="Times New Roman" w:cs="Times New Roman"/>
          <w:sz w:val="28"/>
          <w:szCs w:val="28"/>
        </w:rPr>
        <w:t xml:space="preserve"> </w:t>
      </w:r>
      <w:r w:rsidRPr="00BB226D">
        <w:rPr>
          <w:rFonts w:ascii="Times New Roman" w:hAnsi="Times New Roman" w:cs="Times New Roman"/>
          <w:sz w:val="28"/>
          <w:szCs w:val="28"/>
        </w:rPr>
        <w:t xml:space="preserve">гарячої води. Зокрема, для потреб </w:t>
      </w:r>
      <w:r w:rsidR="008977A5">
        <w:rPr>
          <w:rFonts w:ascii="Times New Roman" w:hAnsi="Times New Roman" w:cs="Times New Roman"/>
          <w:sz w:val="28"/>
          <w:szCs w:val="28"/>
        </w:rPr>
        <w:t xml:space="preserve">населення </w:t>
      </w:r>
      <w:r w:rsidR="00897594">
        <w:rPr>
          <w:rFonts w:ascii="Times New Roman" w:hAnsi="Times New Roman" w:cs="Times New Roman"/>
          <w:sz w:val="28"/>
          <w:szCs w:val="28"/>
        </w:rPr>
        <w:t xml:space="preserve">було </w:t>
      </w:r>
      <w:r w:rsidRPr="00BB226D">
        <w:rPr>
          <w:rFonts w:ascii="Times New Roman" w:hAnsi="Times New Roman" w:cs="Times New Roman"/>
          <w:sz w:val="28"/>
          <w:szCs w:val="28"/>
        </w:rPr>
        <w:t>реаліз</w:t>
      </w:r>
      <w:r w:rsidR="00897594">
        <w:rPr>
          <w:rFonts w:ascii="Times New Roman" w:hAnsi="Times New Roman" w:cs="Times New Roman"/>
          <w:sz w:val="28"/>
          <w:szCs w:val="28"/>
        </w:rPr>
        <w:t>овано</w:t>
      </w:r>
      <w:r w:rsidRPr="00BB226D">
        <w:rPr>
          <w:rFonts w:ascii="Times New Roman" w:hAnsi="Times New Roman" w:cs="Times New Roman"/>
          <w:sz w:val="28"/>
          <w:szCs w:val="28"/>
        </w:rPr>
        <w:t xml:space="preserve"> 8</w:t>
      </w:r>
      <w:r w:rsidR="007B066B">
        <w:rPr>
          <w:rFonts w:ascii="Times New Roman" w:hAnsi="Times New Roman" w:cs="Times New Roman"/>
          <w:sz w:val="28"/>
          <w:szCs w:val="28"/>
        </w:rPr>
        <w:t>6,3</w:t>
      </w:r>
      <w:r w:rsidRPr="00BB226D">
        <w:rPr>
          <w:rFonts w:ascii="Times New Roman" w:hAnsi="Times New Roman" w:cs="Times New Roman"/>
          <w:sz w:val="28"/>
          <w:szCs w:val="28"/>
        </w:rPr>
        <w:t>% виробленої теплоенергії, для бюджетних установ – 1</w:t>
      </w:r>
      <w:r w:rsidR="007B066B">
        <w:rPr>
          <w:rFonts w:ascii="Times New Roman" w:hAnsi="Times New Roman" w:cs="Times New Roman"/>
          <w:sz w:val="28"/>
          <w:szCs w:val="28"/>
        </w:rPr>
        <w:t>1,3</w:t>
      </w:r>
      <w:r w:rsidRPr="00BB226D">
        <w:rPr>
          <w:rFonts w:ascii="Times New Roman" w:hAnsi="Times New Roman" w:cs="Times New Roman"/>
          <w:sz w:val="28"/>
          <w:szCs w:val="28"/>
        </w:rPr>
        <w:t xml:space="preserve">%, решта </w:t>
      </w:r>
      <w:r w:rsidR="007B066B">
        <w:rPr>
          <w:rFonts w:ascii="Times New Roman" w:hAnsi="Times New Roman" w:cs="Times New Roman"/>
          <w:sz w:val="28"/>
          <w:szCs w:val="28"/>
        </w:rPr>
        <w:t>2,4%</w:t>
      </w:r>
      <w:r w:rsidRPr="00BB226D">
        <w:rPr>
          <w:rFonts w:ascii="Times New Roman" w:hAnsi="Times New Roman" w:cs="Times New Roman"/>
          <w:sz w:val="28"/>
          <w:szCs w:val="28"/>
        </w:rPr>
        <w:t>–</w:t>
      </w:r>
      <w:r w:rsidR="007B066B">
        <w:rPr>
          <w:rFonts w:ascii="Times New Roman" w:hAnsi="Times New Roman" w:cs="Times New Roman"/>
          <w:sz w:val="28"/>
          <w:szCs w:val="28"/>
        </w:rPr>
        <w:t xml:space="preserve"> </w:t>
      </w:r>
      <w:r w:rsidR="008977A5">
        <w:rPr>
          <w:rFonts w:ascii="Times New Roman" w:hAnsi="Times New Roman" w:cs="Times New Roman"/>
          <w:sz w:val="28"/>
          <w:szCs w:val="28"/>
        </w:rPr>
        <w:t>для інших категорій споживачів</w:t>
      </w:r>
      <w:r w:rsidRPr="00BB226D">
        <w:rPr>
          <w:rFonts w:ascii="Times New Roman" w:hAnsi="Times New Roman" w:cs="Times New Roman"/>
          <w:sz w:val="28"/>
          <w:szCs w:val="28"/>
        </w:rPr>
        <w:t xml:space="preserve"> (рис. 2).</w:t>
      </w:r>
    </w:p>
    <w:p w:rsidR="00B92484" w:rsidRPr="00BB226D" w:rsidRDefault="00B92484" w:rsidP="0019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7E58" w:rsidRDefault="00B92484" w:rsidP="0019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ru-RU" w:eastAsia="ru-RU"/>
        </w:rPr>
        <w:lastRenderedPageBreak/>
        <w:drawing>
          <wp:inline distT="0" distB="0" distL="0" distR="0" wp14:anchorId="5E3DD474" wp14:editId="050C44DB">
            <wp:extent cx="6120130" cy="3381375"/>
            <wp:effectExtent l="0" t="0" r="13970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A5FCB" w:rsidRDefault="00CA5FCB" w:rsidP="0019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37D4" w:rsidRDefault="00CA5FCB" w:rsidP="0019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92484" w:rsidRPr="00BB226D">
        <w:rPr>
          <w:rFonts w:ascii="Times New Roman" w:hAnsi="Times New Roman" w:cs="Times New Roman"/>
          <w:sz w:val="28"/>
          <w:szCs w:val="28"/>
        </w:rPr>
        <w:t>Приріст заборгованості за спожиті послуги з централізованого опалення та постачання гарячої води в цілому по під</w:t>
      </w:r>
      <w:r w:rsidR="00B92484">
        <w:rPr>
          <w:rFonts w:ascii="Times New Roman" w:hAnsi="Times New Roman" w:cs="Times New Roman"/>
          <w:sz w:val="28"/>
          <w:szCs w:val="28"/>
        </w:rPr>
        <w:t>приємству за 2018</w:t>
      </w:r>
      <w:r w:rsidR="00BB226D" w:rsidRPr="00BB226D">
        <w:rPr>
          <w:rFonts w:ascii="Times New Roman" w:hAnsi="Times New Roman" w:cs="Times New Roman"/>
          <w:sz w:val="28"/>
          <w:szCs w:val="28"/>
        </w:rPr>
        <w:t xml:space="preserve"> рік склав </w:t>
      </w:r>
      <w:r w:rsidR="0077616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4F3D3D">
        <w:rPr>
          <w:rFonts w:ascii="Times New Roman" w:hAnsi="Times New Roman" w:cs="Times New Roman"/>
          <w:sz w:val="28"/>
          <w:szCs w:val="28"/>
        </w:rPr>
        <w:t>18</w:t>
      </w:r>
      <w:r w:rsidR="00776161">
        <w:rPr>
          <w:rFonts w:ascii="Times New Roman" w:hAnsi="Times New Roman" w:cs="Times New Roman"/>
          <w:sz w:val="28"/>
          <w:szCs w:val="28"/>
        </w:rPr>
        <w:t xml:space="preserve"> </w:t>
      </w:r>
      <w:r w:rsidR="004F3D3D">
        <w:rPr>
          <w:rFonts w:ascii="Times New Roman" w:hAnsi="Times New Roman" w:cs="Times New Roman"/>
          <w:sz w:val="28"/>
          <w:szCs w:val="28"/>
        </w:rPr>
        <w:t>381,512</w:t>
      </w:r>
      <w:r w:rsidR="00B92484">
        <w:rPr>
          <w:rFonts w:ascii="Times New Roman" w:hAnsi="Times New Roman" w:cs="Times New Roman"/>
          <w:sz w:val="28"/>
          <w:szCs w:val="28"/>
        </w:rPr>
        <w:t xml:space="preserve"> тис.</w:t>
      </w:r>
      <w:r w:rsidR="00776161">
        <w:rPr>
          <w:rFonts w:ascii="Times New Roman" w:hAnsi="Times New Roman" w:cs="Times New Roman"/>
          <w:sz w:val="28"/>
          <w:szCs w:val="28"/>
        </w:rPr>
        <w:t xml:space="preserve"> </w:t>
      </w:r>
      <w:r w:rsidR="00B92484">
        <w:rPr>
          <w:rFonts w:ascii="Times New Roman" w:hAnsi="Times New Roman" w:cs="Times New Roman"/>
          <w:sz w:val="28"/>
          <w:szCs w:val="28"/>
        </w:rPr>
        <w:t>грн.</w:t>
      </w:r>
      <w:r w:rsidR="00BB226D" w:rsidRPr="00BB226D">
        <w:rPr>
          <w:rFonts w:ascii="Times New Roman" w:hAnsi="Times New Roman" w:cs="Times New Roman"/>
          <w:sz w:val="28"/>
          <w:szCs w:val="28"/>
        </w:rPr>
        <w:t xml:space="preserve"> або </w:t>
      </w:r>
      <w:r w:rsidR="004F3D3D">
        <w:rPr>
          <w:rFonts w:ascii="Times New Roman" w:hAnsi="Times New Roman" w:cs="Times New Roman"/>
          <w:sz w:val="28"/>
          <w:szCs w:val="28"/>
        </w:rPr>
        <w:t>59,5</w:t>
      </w:r>
      <w:r w:rsidR="00BB226D" w:rsidRPr="00BB226D">
        <w:rPr>
          <w:rFonts w:ascii="Times New Roman" w:hAnsi="Times New Roman" w:cs="Times New Roman"/>
          <w:sz w:val="28"/>
          <w:szCs w:val="28"/>
        </w:rPr>
        <w:t>%. За аналогічний період</w:t>
      </w:r>
      <w:r w:rsidR="00B92484">
        <w:rPr>
          <w:rFonts w:ascii="Times New Roman" w:hAnsi="Times New Roman" w:cs="Times New Roman"/>
          <w:sz w:val="28"/>
          <w:szCs w:val="28"/>
        </w:rPr>
        <w:t xml:space="preserve"> </w:t>
      </w:r>
      <w:r w:rsidR="004F3D3D">
        <w:rPr>
          <w:rFonts w:ascii="Times New Roman" w:hAnsi="Times New Roman" w:cs="Times New Roman"/>
          <w:sz w:val="28"/>
          <w:szCs w:val="28"/>
        </w:rPr>
        <w:t>2017</w:t>
      </w:r>
      <w:r w:rsidR="00BB226D" w:rsidRPr="00BB226D">
        <w:rPr>
          <w:rFonts w:ascii="Times New Roman" w:hAnsi="Times New Roman" w:cs="Times New Roman"/>
          <w:sz w:val="28"/>
          <w:szCs w:val="28"/>
        </w:rPr>
        <w:t xml:space="preserve"> року заборгованість збільшилася на </w:t>
      </w:r>
      <w:r w:rsidR="004F3D3D">
        <w:rPr>
          <w:rFonts w:ascii="Times New Roman" w:hAnsi="Times New Roman" w:cs="Times New Roman"/>
          <w:sz w:val="28"/>
          <w:szCs w:val="28"/>
        </w:rPr>
        <w:t>979,043</w:t>
      </w:r>
      <w:r w:rsidR="00776161">
        <w:rPr>
          <w:rFonts w:ascii="Times New Roman" w:hAnsi="Times New Roman" w:cs="Times New Roman"/>
          <w:sz w:val="28"/>
          <w:szCs w:val="28"/>
        </w:rPr>
        <w:t xml:space="preserve"> тис. </w:t>
      </w:r>
      <w:r w:rsidR="00BB226D" w:rsidRPr="00BB226D">
        <w:rPr>
          <w:rFonts w:ascii="Times New Roman" w:hAnsi="Times New Roman" w:cs="Times New Roman"/>
          <w:sz w:val="28"/>
          <w:szCs w:val="28"/>
        </w:rPr>
        <w:t xml:space="preserve">грн, або </w:t>
      </w:r>
      <w:r w:rsidR="00B96FD9">
        <w:rPr>
          <w:rFonts w:ascii="Times New Roman" w:hAnsi="Times New Roman" w:cs="Times New Roman"/>
          <w:sz w:val="28"/>
          <w:szCs w:val="28"/>
        </w:rPr>
        <w:t>3,3</w:t>
      </w:r>
      <w:r w:rsidR="00BB226D" w:rsidRPr="00BB226D">
        <w:rPr>
          <w:rFonts w:ascii="Times New Roman" w:hAnsi="Times New Roman" w:cs="Times New Roman"/>
          <w:sz w:val="28"/>
          <w:szCs w:val="28"/>
        </w:rPr>
        <w:t>%.</w:t>
      </w:r>
      <w:r w:rsidR="004F3D3D">
        <w:rPr>
          <w:rFonts w:ascii="Times New Roman" w:hAnsi="Times New Roman" w:cs="Times New Roman"/>
          <w:sz w:val="28"/>
          <w:szCs w:val="28"/>
        </w:rPr>
        <w:t xml:space="preserve"> </w:t>
      </w:r>
      <w:r w:rsidR="00BB226D" w:rsidRPr="00BB226D">
        <w:rPr>
          <w:rFonts w:ascii="Times New Roman" w:hAnsi="Times New Roman" w:cs="Times New Roman"/>
          <w:sz w:val="28"/>
          <w:szCs w:val="28"/>
        </w:rPr>
        <w:t>Рівень розрахунків споживачів підприєм</w:t>
      </w:r>
      <w:r w:rsidR="006C618F">
        <w:rPr>
          <w:rFonts w:ascii="Times New Roman" w:hAnsi="Times New Roman" w:cs="Times New Roman"/>
          <w:sz w:val="28"/>
          <w:szCs w:val="28"/>
        </w:rPr>
        <w:t>ства</w:t>
      </w:r>
      <w:r w:rsidR="008977A5">
        <w:rPr>
          <w:rFonts w:ascii="Times New Roman" w:hAnsi="Times New Roman" w:cs="Times New Roman"/>
          <w:sz w:val="28"/>
          <w:szCs w:val="28"/>
        </w:rPr>
        <w:t xml:space="preserve"> за 2017 рік</w:t>
      </w:r>
      <w:r w:rsidR="006C618F">
        <w:rPr>
          <w:rFonts w:ascii="Times New Roman" w:hAnsi="Times New Roman" w:cs="Times New Roman"/>
          <w:sz w:val="28"/>
          <w:szCs w:val="28"/>
        </w:rPr>
        <w:t xml:space="preserve"> 99,3</w:t>
      </w:r>
      <w:r w:rsidR="004F3D3D">
        <w:rPr>
          <w:rFonts w:ascii="Times New Roman" w:hAnsi="Times New Roman" w:cs="Times New Roman"/>
          <w:sz w:val="28"/>
          <w:szCs w:val="28"/>
        </w:rPr>
        <w:t xml:space="preserve">%, тобто </w:t>
      </w:r>
      <w:r w:rsidR="008977A5">
        <w:rPr>
          <w:rFonts w:ascii="Times New Roman" w:hAnsi="Times New Roman" w:cs="Times New Roman"/>
          <w:sz w:val="28"/>
          <w:szCs w:val="28"/>
        </w:rPr>
        <w:t>рівень розрахунків за 2018 рік</w:t>
      </w:r>
      <w:r w:rsidR="008977A5" w:rsidRPr="008977A5">
        <w:t xml:space="preserve"> </w:t>
      </w:r>
      <w:r w:rsidR="008977A5" w:rsidRPr="008977A5">
        <w:rPr>
          <w:rFonts w:ascii="Times New Roman" w:hAnsi="Times New Roman" w:cs="Times New Roman"/>
          <w:sz w:val="28"/>
          <w:szCs w:val="28"/>
        </w:rPr>
        <w:t xml:space="preserve">у порівнянні з </w:t>
      </w:r>
      <w:r w:rsidR="008977A5">
        <w:rPr>
          <w:rFonts w:ascii="Times New Roman" w:hAnsi="Times New Roman" w:cs="Times New Roman"/>
          <w:sz w:val="28"/>
          <w:szCs w:val="28"/>
        </w:rPr>
        <w:t>минулим</w:t>
      </w:r>
      <w:r w:rsidR="008977A5" w:rsidRPr="008977A5">
        <w:rPr>
          <w:rFonts w:ascii="Times New Roman" w:hAnsi="Times New Roman" w:cs="Times New Roman"/>
          <w:sz w:val="28"/>
          <w:szCs w:val="28"/>
        </w:rPr>
        <w:t xml:space="preserve"> роком</w:t>
      </w:r>
      <w:r w:rsidR="008977A5">
        <w:rPr>
          <w:rFonts w:ascii="Times New Roman" w:hAnsi="Times New Roman" w:cs="Times New Roman"/>
          <w:sz w:val="28"/>
          <w:szCs w:val="28"/>
        </w:rPr>
        <w:t xml:space="preserve"> </w:t>
      </w:r>
      <w:r w:rsidR="004F3D3D">
        <w:rPr>
          <w:rFonts w:ascii="Times New Roman" w:hAnsi="Times New Roman" w:cs="Times New Roman"/>
          <w:sz w:val="28"/>
          <w:szCs w:val="28"/>
        </w:rPr>
        <w:t>зменшив</w:t>
      </w:r>
      <w:r w:rsidR="00BB226D" w:rsidRPr="00BB226D">
        <w:rPr>
          <w:rFonts w:ascii="Times New Roman" w:hAnsi="Times New Roman" w:cs="Times New Roman"/>
          <w:sz w:val="28"/>
          <w:szCs w:val="28"/>
        </w:rPr>
        <w:t xml:space="preserve">ся на </w:t>
      </w:r>
      <w:r w:rsidR="006C618F">
        <w:rPr>
          <w:rFonts w:ascii="Times New Roman" w:hAnsi="Times New Roman" w:cs="Times New Roman"/>
          <w:sz w:val="28"/>
          <w:szCs w:val="28"/>
        </w:rPr>
        <w:t>10</w:t>
      </w:r>
      <w:r w:rsidR="00BB226D" w:rsidRPr="00BB226D">
        <w:rPr>
          <w:rFonts w:ascii="Times New Roman" w:hAnsi="Times New Roman" w:cs="Times New Roman"/>
          <w:sz w:val="28"/>
          <w:szCs w:val="28"/>
        </w:rPr>
        <w:t>%.</w:t>
      </w:r>
      <w:r w:rsidR="000937D4">
        <w:rPr>
          <w:rFonts w:ascii="Times New Roman" w:hAnsi="Times New Roman" w:cs="Times New Roman"/>
          <w:sz w:val="28"/>
          <w:szCs w:val="28"/>
        </w:rPr>
        <w:t xml:space="preserve"> </w:t>
      </w:r>
      <w:r w:rsidR="00BB226D" w:rsidRPr="00BB226D">
        <w:rPr>
          <w:rFonts w:ascii="Times New Roman" w:hAnsi="Times New Roman" w:cs="Times New Roman"/>
          <w:sz w:val="28"/>
          <w:szCs w:val="28"/>
        </w:rPr>
        <w:t>Значною мірою це обумовлено складною е</w:t>
      </w:r>
      <w:r w:rsidR="008977A5">
        <w:rPr>
          <w:rFonts w:ascii="Times New Roman" w:hAnsi="Times New Roman" w:cs="Times New Roman"/>
          <w:sz w:val="28"/>
          <w:szCs w:val="28"/>
        </w:rPr>
        <w:t>кономічною ситуацією в державі,</w:t>
      </w:r>
      <w:r w:rsidR="00BB226D" w:rsidRPr="00BB226D">
        <w:rPr>
          <w:rFonts w:ascii="Times New Roman" w:hAnsi="Times New Roman" w:cs="Times New Roman"/>
          <w:sz w:val="28"/>
          <w:szCs w:val="28"/>
        </w:rPr>
        <w:t xml:space="preserve"> підвищенням у 201</w:t>
      </w:r>
      <w:r w:rsidR="006C618F">
        <w:rPr>
          <w:rFonts w:ascii="Times New Roman" w:hAnsi="Times New Roman" w:cs="Times New Roman"/>
          <w:sz w:val="28"/>
          <w:szCs w:val="28"/>
        </w:rPr>
        <w:t>8</w:t>
      </w:r>
      <w:r w:rsidR="00BB226D" w:rsidRPr="00BB226D">
        <w:rPr>
          <w:rFonts w:ascii="Times New Roman" w:hAnsi="Times New Roman" w:cs="Times New Roman"/>
          <w:sz w:val="28"/>
          <w:szCs w:val="28"/>
        </w:rPr>
        <w:t xml:space="preserve"> році тарифів на </w:t>
      </w:r>
      <w:r w:rsidR="00B14EB1">
        <w:rPr>
          <w:rFonts w:ascii="Times New Roman" w:hAnsi="Times New Roman" w:cs="Times New Roman"/>
          <w:sz w:val="28"/>
          <w:szCs w:val="28"/>
        </w:rPr>
        <w:t xml:space="preserve">енергоносії, а також </w:t>
      </w:r>
      <w:r w:rsidR="00BB226D" w:rsidRPr="00BB226D">
        <w:rPr>
          <w:rFonts w:ascii="Times New Roman" w:hAnsi="Times New Roman" w:cs="Times New Roman"/>
          <w:sz w:val="28"/>
          <w:szCs w:val="28"/>
        </w:rPr>
        <w:t>несвоєчасною, або не</w:t>
      </w:r>
      <w:r w:rsidR="000937D4" w:rsidRPr="000937D4">
        <w:t xml:space="preserve"> </w:t>
      </w:r>
      <w:r w:rsidR="000937D4" w:rsidRPr="000937D4">
        <w:rPr>
          <w:rFonts w:ascii="Times New Roman" w:hAnsi="Times New Roman" w:cs="Times New Roman"/>
          <w:sz w:val="28"/>
          <w:szCs w:val="28"/>
        </w:rPr>
        <w:t xml:space="preserve">у повному обсязі, оплатою </w:t>
      </w:r>
      <w:r w:rsidR="00776161">
        <w:rPr>
          <w:rFonts w:ascii="Times New Roman" w:hAnsi="Times New Roman" w:cs="Times New Roman"/>
          <w:sz w:val="28"/>
          <w:szCs w:val="28"/>
        </w:rPr>
        <w:t>споживачами послуг підприємства, зміною умов надання субсидій.</w:t>
      </w:r>
    </w:p>
    <w:p w:rsidR="006C618F" w:rsidRDefault="006C618F" w:rsidP="0019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618F" w:rsidRDefault="00AE2CCD" w:rsidP="00E82FC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2CCD">
        <w:rPr>
          <w:rFonts w:ascii="Times New Roman" w:hAnsi="Times New Roman" w:cs="Times New Roman"/>
          <w:b/>
          <w:sz w:val="28"/>
          <w:szCs w:val="28"/>
        </w:rPr>
        <w:t>Розрахунки населення за спожиті послуги з централізованого опалення</w:t>
      </w:r>
      <w:r w:rsidR="00E82F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2CCD">
        <w:rPr>
          <w:rFonts w:ascii="Times New Roman" w:hAnsi="Times New Roman" w:cs="Times New Roman"/>
          <w:b/>
          <w:sz w:val="28"/>
          <w:szCs w:val="28"/>
        </w:rPr>
        <w:t>та централізованого постачання гарячої води, бюджетних установ та інших споживачів</w:t>
      </w:r>
      <w:r w:rsidR="00E82F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2CCD">
        <w:rPr>
          <w:rFonts w:ascii="Times New Roman" w:hAnsi="Times New Roman" w:cs="Times New Roman"/>
          <w:b/>
          <w:sz w:val="28"/>
          <w:szCs w:val="28"/>
        </w:rPr>
        <w:t>за поставлену теплову енергію</w:t>
      </w:r>
    </w:p>
    <w:p w:rsidR="00AE2CCD" w:rsidRPr="00AE2CCD" w:rsidRDefault="00AE2CCD" w:rsidP="00E82FC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37D4" w:rsidRPr="000937D4" w:rsidRDefault="00E4217A" w:rsidP="001954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Майже 26</w:t>
      </w:r>
      <w:r w:rsidR="00B14E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000</w:t>
      </w:r>
      <w:r w:rsidR="006C618F">
        <w:rPr>
          <w:rFonts w:ascii="Times New Roman" w:hAnsi="Times New Roman" w:cs="Times New Roman"/>
          <w:sz w:val="28"/>
          <w:szCs w:val="28"/>
        </w:rPr>
        <w:t xml:space="preserve"> </w:t>
      </w:r>
      <w:r w:rsidR="005B7711">
        <w:rPr>
          <w:rFonts w:ascii="Times New Roman" w:hAnsi="Times New Roman" w:cs="Times New Roman"/>
          <w:sz w:val="28"/>
          <w:szCs w:val="28"/>
        </w:rPr>
        <w:t>мешканців</w:t>
      </w:r>
      <w:r w:rsidR="005B7711" w:rsidRPr="005B7711">
        <w:rPr>
          <w:rFonts w:ascii="Times New Roman" w:hAnsi="Times New Roman" w:cs="Times New Roman"/>
          <w:sz w:val="28"/>
          <w:szCs w:val="28"/>
        </w:rPr>
        <w:t xml:space="preserve"> </w:t>
      </w:r>
      <w:r w:rsidR="005B7711">
        <w:rPr>
          <w:rFonts w:ascii="Times New Roman" w:hAnsi="Times New Roman" w:cs="Times New Roman"/>
          <w:sz w:val="28"/>
          <w:szCs w:val="28"/>
        </w:rPr>
        <w:t>м. Кременчука</w:t>
      </w:r>
      <w:r w:rsidR="005B7711" w:rsidRPr="000937D4">
        <w:rPr>
          <w:rFonts w:ascii="Times New Roman" w:hAnsi="Times New Roman" w:cs="Times New Roman"/>
          <w:sz w:val="28"/>
          <w:szCs w:val="28"/>
        </w:rPr>
        <w:t xml:space="preserve"> </w:t>
      </w:r>
      <w:r w:rsidR="000937D4" w:rsidRPr="000937D4">
        <w:rPr>
          <w:rFonts w:ascii="Times New Roman" w:hAnsi="Times New Roman" w:cs="Times New Roman"/>
          <w:sz w:val="28"/>
          <w:szCs w:val="28"/>
        </w:rPr>
        <w:t>користуються послугою з централізованого постачання гарячої води</w:t>
      </w:r>
      <w:r w:rsidR="005B7711">
        <w:rPr>
          <w:rFonts w:ascii="Times New Roman" w:hAnsi="Times New Roman" w:cs="Times New Roman"/>
          <w:sz w:val="28"/>
          <w:szCs w:val="28"/>
        </w:rPr>
        <w:t xml:space="preserve"> що надає КП «</w:t>
      </w:r>
      <w:proofErr w:type="spellStart"/>
      <w:r w:rsidR="005B7711">
        <w:rPr>
          <w:rFonts w:ascii="Times New Roman" w:hAnsi="Times New Roman" w:cs="Times New Roman"/>
          <w:sz w:val="28"/>
          <w:szCs w:val="28"/>
        </w:rPr>
        <w:t>Теплоенерго</w:t>
      </w:r>
      <w:proofErr w:type="spellEnd"/>
      <w:r w:rsidR="005B7711">
        <w:rPr>
          <w:rFonts w:ascii="Times New Roman" w:hAnsi="Times New Roman" w:cs="Times New Roman"/>
          <w:sz w:val="28"/>
          <w:szCs w:val="28"/>
        </w:rPr>
        <w:t>»</w:t>
      </w:r>
      <w:r w:rsidR="000937D4" w:rsidRPr="000937D4">
        <w:rPr>
          <w:rFonts w:ascii="Times New Roman" w:hAnsi="Times New Roman" w:cs="Times New Roman"/>
          <w:sz w:val="28"/>
          <w:szCs w:val="28"/>
        </w:rPr>
        <w:t xml:space="preserve">. </w:t>
      </w:r>
      <w:r w:rsidR="005B7711">
        <w:rPr>
          <w:rFonts w:ascii="Times New Roman" w:hAnsi="Times New Roman" w:cs="Times New Roman"/>
          <w:sz w:val="28"/>
          <w:szCs w:val="28"/>
        </w:rPr>
        <w:t>З</w:t>
      </w:r>
      <w:r w:rsidR="000937D4" w:rsidRPr="000937D4">
        <w:rPr>
          <w:rFonts w:ascii="Times New Roman" w:hAnsi="Times New Roman" w:cs="Times New Roman"/>
          <w:sz w:val="28"/>
          <w:szCs w:val="28"/>
        </w:rPr>
        <w:t xml:space="preserve">агальна кількість особових рахунків, які знаходяться на обліку підприємства, склала </w:t>
      </w:r>
      <w:r>
        <w:rPr>
          <w:rFonts w:ascii="Times New Roman" w:hAnsi="Times New Roman" w:cs="Times New Roman"/>
          <w:sz w:val="28"/>
          <w:szCs w:val="28"/>
        </w:rPr>
        <w:t>12</w:t>
      </w:r>
      <w:r w:rsidR="00B14EB1">
        <w:rPr>
          <w:rFonts w:ascii="Times New Roman" w:hAnsi="Times New Roman" w:cs="Times New Roman"/>
          <w:sz w:val="28"/>
          <w:szCs w:val="28"/>
        </w:rPr>
        <w:t xml:space="preserve"> </w:t>
      </w:r>
      <w:r w:rsidR="00CE5D75">
        <w:rPr>
          <w:rFonts w:ascii="Times New Roman" w:hAnsi="Times New Roman" w:cs="Times New Roman"/>
          <w:sz w:val="28"/>
          <w:szCs w:val="28"/>
        </w:rPr>
        <w:t>982</w:t>
      </w:r>
      <w:r w:rsidR="000937D4" w:rsidRPr="000937D4">
        <w:rPr>
          <w:rFonts w:ascii="Times New Roman" w:hAnsi="Times New Roman" w:cs="Times New Roman"/>
          <w:sz w:val="28"/>
          <w:szCs w:val="28"/>
        </w:rPr>
        <w:t>.</w:t>
      </w:r>
      <w:r w:rsidR="005B77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7711" w:rsidRPr="005B7711" w:rsidRDefault="00B14EB1" w:rsidP="00E82F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Зміна механізму субсидіювання та стрімке підвищення вартості газу та інших енергоносіїв </w:t>
      </w:r>
      <w:r w:rsidR="000937D4" w:rsidRPr="000937D4">
        <w:rPr>
          <w:rFonts w:ascii="Times New Roman" w:hAnsi="Times New Roman" w:cs="Times New Roman"/>
          <w:sz w:val="28"/>
          <w:szCs w:val="28"/>
        </w:rPr>
        <w:t>призвело до суттєвого збільшення фінансового</w:t>
      </w:r>
      <w:r w:rsidR="005B7711">
        <w:rPr>
          <w:rFonts w:ascii="Times New Roman" w:hAnsi="Times New Roman" w:cs="Times New Roman"/>
          <w:sz w:val="28"/>
          <w:szCs w:val="28"/>
        </w:rPr>
        <w:t xml:space="preserve"> </w:t>
      </w:r>
      <w:r w:rsidR="000937D4" w:rsidRPr="000937D4">
        <w:rPr>
          <w:rFonts w:ascii="Times New Roman" w:hAnsi="Times New Roman" w:cs="Times New Roman"/>
          <w:sz w:val="28"/>
          <w:szCs w:val="28"/>
        </w:rPr>
        <w:t>навантаження на споживачів у холодну пору року. Як наслідок, оплата послуг</w:t>
      </w:r>
      <w:r w:rsidR="005B7711" w:rsidRPr="005B7711">
        <w:t xml:space="preserve"> </w:t>
      </w:r>
      <w:r w:rsidR="005B7711" w:rsidRPr="005B7711">
        <w:rPr>
          <w:rFonts w:ascii="Times New Roman" w:hAnsi="Times New Roman" w:cs="Times New Roman"/>
          <w:sz w:val="28"/>
          <w:szCs w:val="28"/>
        </w:rPr>
        <w:t>з централізованого опалення в опалювальний період населенням проводиться</w:t>
      </w:r>
      <w:r w:rsidR="00E82FC3">
        <w:rPr>
          <w:rFonts w:ascii="Times New Roman" w:hAnsi="Times New Roman" w:cs="Times New Roman"/>
          <w:sz w:val="28"/>
          <w:szCs w:val="28"/>
        </w:rPr>
        <w:t xml:space="preserve"> </w:t>
      </w:r>
      <w:r w:rsidR="005B7711" w:rsidRPr="005B7711">
        <w:rPr>
          <w:rFonts w:ascii="Times New Roman" w:hAnsi="Times New Roman" w:cs="Times New Roman"/>
          <w:sz w:val="28"/>
          <w:szCs w:val="28"/>
        </w:rPr>
        <w:t>не в повному обсязі. Частина споживачів проводить доплату за послуги після</w:t>
      </w:r>
      <w:r w:rsidR="00E82FC3">
        <w:rPr>
          <w:rFonts w:ascii="Times New Roman" w:hAnsi="Times New Roman" w:cs="Times New Roman"/>
          <w:sz w:val="28"/>
          <w:szCs w:val="28"/>
        </w:rPr>
        <w:t xml:space="preserve"> </w:t>
      </w:r>
      <w:r w:rsidR="005B7711" w:rsidRPr="005B7711">
        <w:rPr>
          <w:rFonts w:ascii="Times New Roman" w:hAnsi="Times New Roman" w:cs="Times New Roman"/>
          <w:sz w:val="28"/>
          <w:szCs w:val="28"/>
        </w:rPr>
        <w:lastRenderedPageBreak/>
        <w:t>закінчення опалювального періоду. Протягом 201</w:t>
      </w:r>
      <w:r w:rsidR="005B7711">
        <w:rPr>
          <w:rFonts w:ascii="Times New Roman" w:hAnsi="Times New Roman" w:cs="Times New Roman"/>
          <w:sz w:val="28"/>
          <w:szCs w:val="28"/>
        </w:rPr>
        <w:t>8</w:t>
      </w:r>
      <w:r w:rsidR="005B7711" w:rsidRPr="005B7711">
        <w:rPr>
          <w:rFonts w:ascii="Times New Roman" w:hAnsi="Times New Roman" w:cs="Times New Roman"/>
          <w:sz w:val="28"/>
          <w:szCs w:val="28"/>
        </w:rPr>
        <w:t xml:space="preserve"> року підприємством </w:t>
      </w:r>
      <w:r w:rsidR="004E0DE5" w:rsidRPr="005B7711">
        <w:rPr>
          <w:rFonts w:ascii="Times New Roman" w:hAnsi="Times New Roman" w:cs="Times New Roman"/>
          <w:sz w:val="28"/>
          <w:szCs w:val="28"/>
        </w:rPr>
        <w:t>нарахован</w:t>
      </w:r>
      <w:r w:rsidR="00E4217A">
        <w:rPr>
          <w:rFonts w:ascii="Times New Roman" w:hAnsi="Times New Roman" w:cs="Times New Roman"/>
          <w:sz w:val="28"/>
          <w:szCs w:val="28"/>
        </w:rPr>
        <w:t>о</w:t>
      </w:r>
      <w:r w:rsidR="005B7711" w:rsidRPr="005B7711">
        <w:rPr>
          <w:rFonts w:ascii="Times New Roman" w:hAnsi="Times New Roman" w:cs="Times New Roman"/>
          <w:sz w:val="28"/>
          <w:szCs w:val="28"/>
        </w:rPr>
        <w:t xml:space="preserve"> пільг на загальну суму</w:t>
      </w:r>
      <w:r w:rsidR="00CE5D75">
        <w:rPr>
          <w:rFonts w:ascii="Times New Roman" w:hAnsi="Times New Roman" w:cs="Times New Roman"/>
          <w:sz w:val="28"/>
          <w:szCs w:val="28"/>
        </w:rPr>
        <w:t xml:space="preserve"> </w:t>
      </w:r>
      <w:r w:rsidR="005B7711" w:rsidRPr="005B7711">
        <w:rPr>
          <w:rFonts w:ascii="Times New Roman" w:hAnsi="Times New Roman" w:cs="Times New Roman"/>
          <w:sz w:val="28"/>
          <w:szCs w:val="28"/>
        </w:rPr>
        <w:t xml:space="preserve"> </w:t>
      </w:r>
      <w:r w:rsidR="005B7711">
        <w:rPr>
          <w:rFonts w:ascii="Times New Roman" w:hAnsi="Times New Roman" w:cs="Times New Roman"/>
          <w:sz w:val="28"/>
          <w:szCs w:val="28"/>
        </w:rPr>
        <w:t>3</w:t>
      </w:r>
      <w:r w:rsidR="00776161">
        <w:rPr>
          <w:rFonts w:ascii="Times New Roman" w:hAnsi="Times New Roman" w:cs="Times New Roman"/>
          <w:sz w:val="28"/>
          <w:szCs w:val="28"/>
        </w:rPr>
        <w:t xml:space="preserve"> </w:t>
      </w:r>
      <w:r w:rsidR="005B7711">
        <w:rPr>
          <w:rFonts w:ascii="Times New Roman" w:hAnsi="Times New Roman" w:cs="Times New Roman"/>
          <w:sz w:val="28"/>
          <w:szCs w:val="28"/>
        </w:rPr>
        <w:t>831,062 тис.</w:t>
      </w:r>
      <w:r w:rsidR="00776161">
        <w:rPr>
          <w:rFonts w:ascii="Times New Roman" w:hAnsi="Times New Roman" w:cs="Times New Roman"/>
          <w:sz w:val="28"/>
          <w:szCs w:val="28"/>
        </w:rPr>
        <w:t xml:space="preserve"> </w:t>
      </w:r>
      <w:r w:rsidR="005B7711" w:rsidRPr="005B7711">
        <w:rPr>
          <w:rFonts w:ascii="Times New Roman" w:hAnsi="Times New Roman" w:cs="Times New Roman"/>
          <w:sz w:val="28"/>
          <w:szCs w:val="28"/>
        </w:rPr>
        <w:t>грн</w:t>
      </w:r>
      <w:r w:rsidR="005B7711">
        <w:rPr>
          <w:rFonts w:ascii="Times New Roman" w:hAnsi="Times New Roman" w:cs="Times New Roman"/>
          <w:sz w:val="28"/>
          <w:szCs w:val="28"/>
        </w:rPr>
        <w:t>.</w:t>
      </w:r>
      <w:r w:rsidR="005B7711" w:rsidRPr="005B7711">
        <w:rPr>
          <w:rFonts w:ascii="Times New Roman" w:hAnsi="Times New Roman" w:cs="Times New Roman"/>
          <w:sz w:val="28"/>
          <w:szCs w:val="28"/>
        </w:rPr>
        <w:t>, відшкодовано –</w:t>
      </w:r>
      <w:r w:rsidR="00CE5D75">
        <w:rPr>
          <w:rFonts w:ascii="Times New Roman" w:hAnsi="Times New Roman" w:cs="Times New Roman"/>
          <w:sz w:val="28"/>
          <w:szCs w:val="28"/>
        </w:rPr>
        <w:t>3</w:t>
      </w:r>
      <w:r w:rsidR="00776161">
        <w:rPr>
          <w:rFonts w:ascii="Times New Roman" w:hAnsi="Times New Roman" w:cs="Times New Roman"/>
          <w:sz w:val="28"/>
          <w:szCs w:val="28"/>
        </w:rPr>
        <w:t xml:space="preserve"> </w:t>
      </w:r>
      <w:r w:rsidR="00CE5D75">
        <w:rPr>
          <w:rFonts w:ascii="Times New Roman" w:hAnsi="Times New Roman" w:cs="Times New Roman"/>
          <w:sz w:val="28"/>
          <w:szCs w:val="28"/>
        </w:rPr>
        <w:t>897,189</w:t>
      </w:r>
      <w:r w:rsidR="0079156D">
        <w:rPr>
          <w:rFonts w:ascii="Times New Roman" w:hAnsi="Times New Roman" w:cs="Times New Roman"/>
          <w:sz w:val="28"/>
          <w:szCs w:val="28"/>
        </w:rPr>
        <w:t xml:space="preserve"> тис.</w:t>
      </w:r>
      <w:r w:rsidR="00776161">
        <w:rPr>
          <w:rFonts w:ascii="Times New Roman" w:hAnsi="Times New Roman" w:cs="Times New Roman"/>
          <w:sz w:val="28"/>
          <w:szCs w:val="28"/>
        </w:rPr>
        <w:t xml:space="preserve"> </w:t>
      </w:r>
      <w:r w:rsidR="005B7711" w:rsidRPr="005B7711">
        <w:rPr>
          <w:rFonts w:ascii="Times New Roman" w:hAnsi="Times New Roman" w:cs="Times New Roman"/>
          <w:sz w:val="28"/>
          <w:szCs w:val="28"/>
        </w:rPr>
        <w:t>грн.</w:t>
      </w:r>
      <w:r w:rsidR="00E4217A" w:rsidRPr="00E4217A">
        <w:t xml:space="preserve"> </w:t>
      </w:r>
      <w:r w:rsidR="00E4217A" w:rsidRPr="00E4217A">
        <w:rPr>
          <w:rFonts w:ascii="Times New Roman" w:hAnsi="Times New Roman" w:cs="Times New Roman"/>
          <w:sz w:val="28"/>
          <w:szCs w:val="28"/>
        </w:rPr>
        <w:t>( в тому числі за попередній період).</w:t>
      </w:r>
    </w:p>
    <w:p w:rsidR="005B7711" w:rsidRPr="005B7711" w:rsidRDefault="005B7711" w:rsidP="001954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711">
        <w:rPr>
          <w:rFonts w:ascii="Times New Roman" w:hAnsi="Times New Roman" w:cs="Times New Roman"/>
          <w:sz w:val="28"/>
          <w:szCs w:val="28"/>
        </w:rPr>
        <w:t>Сума нарахованих субсидій за 201</w:t>
      </w:r>
      <w:r w:rsidR="0079156D">
        <w:rPr>
          <w:rFonts w:ascii="Times New Roman" w:hAnsi="Times New Roman" w:cs="Times New Roman"/>
          <w:sz w:val="28"/>
          <w:szCs w:val="28"/>
        </w:rPr>
        <w:t>8</w:t>
      </w:r>
      <w:r w:rsidRPr="005B7711">
        <w:rPr>
          <w:rFonts w:ascii="Times New Roman" w:hAnsi="Times New Roman" w:cs="Times New Roman"/>
          <w:sz w:val="28"/>
          <w:szCs w:val="28"/>
        </w:rPr>
        <w:t xml:space="preserve"> рік склала </w:t>
      </w:r>
      <w:r w:rsidR="0079156D">
        <w:rPr>
          <w:rFonts w:ascii="Times New Roman" w:hAnsi="Times New Roman" w:cs="Times New Roman"/>
          <w:sz w:val="28"/>
          <w:szCs w:val="28"/>
        </w:rPr>
        <w:t>41</w:t>
      </w:r>
      <w:r w:rsidR="00776161">
        <w:rPr>
          <w:rFonts w:ascii="Times New Roman" w:hAnsi="Times New Roman" w:cs="Times New Roman"/>
          <w:sz w:val="28"/>
          <w:szCs w:val="28"/>
        </w:rPr>
        <w:t xml:space="preserve"> </w:t>
      </w:r>
      <w:r w:rsidR="0079156D">
        <w:rPr>
          <w:rFonts w:ascii="Times New Roman" w:hAnsi="Times New Roman" w:cs="Times New Roman"/>
          <w:sz w:val="28"/>
          <w:szCs w:val="28"/>
        </w:rPr>
        <w:t>880,622 тис.</w:t>
      </w:r>
      <w:r w:rsidRPr="005B7711">
        <w:rPr>
          <w:rFonts w:ascii="Times New Roman" w:hAnsi="Times New Roman" w:cs="Times New Roman"/>
          <w:sz w:val="28"/>
          <w:szCs w:val="28"/>
        </w:rPr>
        <w:t xml:space="preserve"> грн</w:t>
      </w:r>
      <w:r w:rsidR="0079156D">
        <w:rPr>
          <w:rFonts w:ascii="Times New Roman" w:hAnsi="Times New Roman" w:cs="Times New Roman"/>
          <w:sz w:val="28"/>
          <w:szCs w:val="28"/>
        </w:rPr>
        <w:t>.</w:t>
      </w:r>
      <w:r w:rsidRPr="005B7711">
        <w:rPr>
          <w:rFonts w:ascii="Times New Roman" w:hAnsi="Times New Roman" w:cs="Times New Roman"/>
          <w:sz w:val="28"/>
          <w:szCs w:val="28"/>
        </w:rPr>
        <w:t xml:space="preserve">, </w:t>
      </w:r>
      <w:r w:rsidR="00CE5D75">
        <w:rPr>
          <w:rFonts w:ascii="Times New Roman" w:hAnsi="Times New Roman" w:cs="Times New Roman"/>
          <w:sz w:val="28"/>
          <w:szCs w:val="28"/>
        </w:rPr>
        <w:t>профінансовано</w:t>
      </w:r>
      <w:r w:rsidRPr="005B7711">
        <w:rPr>
          <w:rFonts w:ascii="Times New Roman" w:hAnsi="Times New Roman" w:cs="Times New Roman"/>
          <w:sz w:val="28"/>
          <w:szCs w:val="28"/>
        </w:rPr>
        <w:t xml:space="preserve"> – </w:t>
      </w:r>
      <w:r w:rsidR="00CE5D75">
        <w:rPr>
          <w:rFonts w:ascii="Times New Roman" w:hAnsi="Times New Roman" w:cs="Times New Roman"/>
          <w:sz w:val="28"/>
          <w:szCs w:val="28"/>
        </w:rPr>
        <w:t>49</w:t>
      </w:r>
      <w:r w:rsidR="00776161">
        <w:rPr>
          <w:rFonts w:ascii="Times New Roman" w:hAnsi="Times New Roman" w:cs="Times New Roman"/>
          <w:sz w:val="28"/>
          <w:szCs w:val="28"/>
        </w:rPr>
        <w:t xml:space="preserve"> </w:t>
      </w:r>
      <w:r w:rsidR="00CE5D75">
        <w:rPr>
          <w:rFonts w:ascii="Times New Roman" w:hAnsi="Times New Roman" w:cs="Times New Roman"/>
          <w:sz w:val="28"/>
          <w:szCs w:val="28"/>
        </w:rPr>
        <w:t>803,950</w:t>
      </w:r>
      <w:r w:rsidR="0079156D">
        <w:rPr>
          <w:rFonts w:ascii="Times New Roman" w:hAnsi="Times New Roman" w:cs="Times New Roman"/>
          <w:sz w:val="28"/>
          <w:szCs w:val="28"/>
        </w:rPr>
        <w:t xml:space="preserve"> тис</w:t>
      </w:r>
      <w:r w:rsidR="00776161">
        <w:rPr>
          <w:rFonts w:ascii="Times New Roman" w:hAnsi="Times New Roman" w:cs="Times New Roman"/>
          <w:sz w:val="28"/>
          <w:szCs w:val="28"/>
        </w:rPr>
        <w:t xml:space="preserve"> </w:t>
      </w:r>
      <w:r w:rsidR="0079156D">
        <w:rPr>
          <w:rFonts w:ascii="Times New Roman" w:hAnsi="Times New Roman" w:cs="Times New Roman"/>
          <w:sz w:val="28"/>
          <w:szCs w:val="28"/>
        </w:rPr>
        <w:t>.</w:t>
      </w:r>
      <w:r w:rsidRPr="005B7711">
        <w:rPr>
          <w:rFonts w:ascii="Times New Roman" w:hAnsi="Times New Roman" w:cs="Times New Roman"/>
          <w:sz w:val="28"/>
          <w:szCs w:val="28"/>
        </w:rPr>
        <w:t>грн.</w:t>
      </w:r>
      <w:r w:rsidR="00E4217A">
        <w:rPr>
          <w:rFonts w:ascii="Times New Roman" w:hAnsi="Times New Roman" w:cs="Times New Roman"/>
          <w:sz w:val="28"/>
          <w:szCs w:val="28"/>
        </w:rPr>
        <w:t>( в тому числі за попередній період).</w:t>
      </w:r>
    </w:p>
    <w:p w:rsidR="005B7711" w:rsidRPr="005B7711" w:rsidRDefault="005B7711" w:rsidP="00E82F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711">
        <w:rPr>
          <w:rFonts w:ascii="Times New Roman" w:hAnsi="Times New Roman" w:cs="Times New Roman"/>
          <w:sz w:val="28"/>
          <w:szCs w:val="28"/>
        </w:rPr>
        <w:t>Загальна сума боргу населення за спожиті послуги з централізованого опалення та централізованого постачання гарячої води</w:t>
      </w:r>
      <w:r w:rsidR="0079156D">
        <w:rPr>
          <w:rFonts w:ascii="Times New Roman" w:hAnsi="Times New Roman" w:cs="Times New Roman"/>
          <w:sz w:val="28"/>
          <w:szCs w:val="28"/>
        </w:rPr>
        <w:t xml:space="preserve"> без пільг та субсидій</w:t>
      </w:r>
      <w:r w:rsidRPr="005B7711">
        <w:rPr>
          <w:rFonts w:ascii="Times New Roman" w:hAnsi="Times New Roman" w:cs="Times New Roman"/>
          <w:sz w:val="28"/>
          <w:szCs w:val="28"/>
        </w:rPr>
        <w:t xml:space="preserve"> станом на 31.12.201</w:t>
      </w:r>
      <w:r w:rsidR="0079156D">
        <w:rPr>
          <w:rFonts w:ascii="Times New Roman" w:hAnsi="Times New Roman" w:cs="Times New Roman"/>
          <w:sz w:val="28"/>
          <w:szCs w:val="28"/>
        </w:rPr>
        <w:t>8</w:t>
      </w:r>
      <w:r w:rsidRPr="005B7711">
        <w:rPr>
          <w:rFonts w:ascii="Times New Roman" w:hAnsi="Times New Roman" w:cs="Times New Roman"/>
          <w:sz w:val="28"/>
          <w:szCs w:val="28"/>
        </w:rPr>
        <w:t xml:space="preserve"> року</w:t>
      </w:r>
      <w:r w:rsidR="0079156D">
        <w:rPr>
          <w:rFonts w:ascii="Times New Roman" w:hAnsi="Times New Roman" w:cs="Times New Roman"/>
          <w:sz w:val="28"/>
          <w:szCs w:val="28"/>
        </w:rPr>
        <w:t xml:space="preserve"> </w:t>
      </w:r>
      <w:r w:rsidRPr="005B7711">
        <w:rPr>
          <w:rFonts w:ascii="Times New Roman" w:hAnsi="Times New Roman" w:cs="Times New Roman"/>
          <w:sz w:val="28"/>
          <w:szCs w:val="28"/>
        </w:rPr>
        <w:t xml:space="preserve">становить </w:t>
      </w:r>
      <w:r w:rsidR="0079156D">
        <w:rPr>
          <w:rFonts w:ascii="Times New Roman" w:hAnsi="Times New Roman" w:cs="Times New Roman"/>
          <w:sz w:val="28"/>
          <w:szCs w:val="28"/>
        </w:rPr>
        <w:t>36</w:t>
      </w:r>
      <w:r w:rsidR="00776161">
        <w:rPr>
          <w:rFonts w:ascii="Times New Roman" w:hAnsi="Times New Roman" w:cs="Times New Roman"/>
          <w:sz w:val="28"/>
          <w:szCs w:val="28"/>
        </w:rPr>
        <w:t xml:space="preserve"> </w:t>
      </w:r>
      <w:r w:rsidR="0079156D">
        <w:rPr>
          <w:rFonts w:ascii="Times New Roman" w:hAnsi="Times New Roman" w:cs="Times New Roman"/>
          <w:sz w:val="28"/>
          <w:szCs w:val="28"/>
        </w:rPr>
        <w:t>846,032 тис</w:t>
      </w:r>
      <w:r w:rsidR="00776161">
        <w:rPr>
          <w:rFonts w:ascii="Times New Roman" w:hAnsi="Times New Roman" w:cs="Times New Roman"/>
          <w:sz w:val="28"/>
          <w:szCs w:val="28"/>
        </w:rPr>
        <w:t xml:space="preserve"> </w:t>
      </w:r>
      <w:r w:rsidR="0079156D">
        <w:rPr>
          <w:rFonts w:ascii="Times New Roman" w:hAnsi="Times New Roman" w:cs="Times New Roman"/>
          <w:sz w:val="28"/>
          <w:szCs w:val="28"/>
        </w:rPr>
        <w:t>.</w:t>
      </w:r>
      <w:r w:rsidRPr="005B7711">
        <w:rPr>
          <w:rFonts w:ascii="Times New Roman" w:hAnsi="Times New Roman" w:cs="Times New Roman"/>
          <w:sz w:val="28"/>
          <w:szCs w:val="28"/>
        </w:rPr>
        <w:t>грн</w:t>
      </w:r>
      <w:r w:rsidR="0079156D">
        <w:rPr>
          <w:rFonts w:ascii="Times New Roman" w:hAnsi="Times New Roman" w:cs="Times New Roman"/>
          <w:sz w:val="28"/>
          <w:szCs w:val="28"/>
        </w:rPr>
        <w:t>.</w:t>
      </w:r>
      <w:r w:rsidRPr="005B7711">
        <w:rPr>
          <w:rFonts w:ascii="Times New Roman" w:hAnsi="Times New Roman" w:cs="Times New Roman"/>
          <w:sz w:val="28"/>
          <w:szCs w:val="28"/>
        </w:rPr>
        <w:t>, причому приріст заборгованості протягом</w:t>
      </w:r>
      <w:r w:rsidR="0079156D">
        <w:rPr>
          <w:rFonts w:ascii="Times New Roman" w:hAnsi="Times New Roman" w:cs="Times New Roman"/>
          <w:sz w:val="28"/>
          <w:szCs w:val="28"/>
        </w:rPr>
        <w:t xml:space="preserve"> 2018</w:t>
      </w:r>
      <w:r w:rsidRPr="005B7711">
        <w:rPr>
          <w:rFonts w:ascii="Times New Roman" w:hAnsi="Times New Roman" w:cs="Times New Roman"/>
          <w:sz w:val="28"/>
          <w:szCs w:val="28"/>
        </w:rPr>
        <w:t xml:space="preserve"> року склав </w:t>
      </w:r>
      <w:r w:rsidR="0079156D">
        <w:rPr>
          <w:rFonts w:ascii="Times New Roman" w:hAnsi="Times New Roman" w:cs="Times New Roman"/>
          <w:sz w:val="28"/>
          <w:szCs w:val="28"/>
        </w:rPr>
        <w:t>21</w:t>
      </w:r>
      <w:r w:rsidR="00776161">
        <w:rPr>
          <w:rFonts w:ascii="Times New Roman" w:hAnsi="Times New Roman" w:cs="Times New Roman"/>
          <w:sz w:val="28"/>
          <w:szCs w:val="28"/>
        </w:rPr>
        <w:t xml:space="preserve"> </w:t>
      </w:r>
      <w:r w:rsidR="0079156D">
        <w:rPr>
          <w:rFonts w:ascii="Times New Roman" w:hAnsi="Times New Roman" w:cs="Times New Roman"/>
          <w:sz w:val="28"/>
          <w:szCs w:val="28"/>
        </w:rPr>
        <w:t>066,01 тис.</w:t>
      </w:r>
      <w:r w:rsidR="00776161">
        <w:rPr>
          <w:rFonts w:ascii="Times New Roman" w:hAnsi="Times New Roman" w:cs="Times New Roman"/>
          <w:sz w:val="28"/>
          <w:szCs w:val="28"/>
        </w:rPr>
        <w:t xml:space="preserve"> </w:t>
      </w:r>
      <w:r w:rsidRPr="005B7711">
        <w:rPr>
          <w:rFonts w:ascii="Times New Roman" w:hAnsi="Times New Roman" w:cs="Times New Roman"/>
          <w:sz w:val="28"/>
          <w:szCs w:val="28"/>
        </w:rPr>
        <w:t>грн</w:t>
      </w:r>
      <w:r w:rsidR="0079156D">
        <w:rPr>
          <w:rFonts w:ascii="Times New Roman" w:hAnsi="Times New Roman" w:cs="Times New Roman"/>
          <w:sz w:val="28"/>
          <w:szCs w:val="28"/>
        </w:rPr>
        <w:t>.</w:t>
      </w:r>
      <w:r w:rsidRPr="005B7711">
        <w:rPr>
          <w:rFonts w:ascii="Times New Roman" w:hAnsi="Times New Roman" w:cs="Times New Roman"/>
          <w:sz w:val="28"/>
          <w:szCs w:val="28"/>
        </w:rPr>
        <w:t xml:space="preserve">, або </w:t>
      </w:r>
      <w:r w:rsidR="0079156D">
        <w:rPr>
          <w:rFonts w:ascii="Times New Roman" w:hAnsi="Times New Roman" w:cs="Times New Roman"/>
          <w:sz w:val="28"/>
          <w:szCs w:val="28"/>
        </w:rPr>
        <w:t>133,5</w:t>
      </w:r>
      <w:r w:rsidR="00FD22E5">
        <w:rPr>
          <w:rFonts w:ascii="Times New Roman" w:hAnsi="Times New Roman" w:cs="Times New Roman"/>
          <w:sz w:val="28"/>
          <w:szCs w:val="28"/>
        </w:rPr>
        <w:t>%</w:t>
      </w:r>
      <w:r w:rsidRPr="005B7711">
        <w:rPr>
          <w:rFonts w:ascii="Times New Roman" w:hAnsi="Times New Roman" w:cs="Times New Roman"/>
          <w:sz w:val="28"/>
          <w:szCs w:val="28"/>
        </w:rPr>
        <w:t>.</w:t>
      </w:r>
    </w:p>
    <w:p w:rsidR="005B7711" w:rsidRPr="005B7711" w:rsidRDefault="005B7711" w:rsidP="001954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711">
        <w:rPr>
          <w:rFonts w:ascii="Times New Roman" w:hAnsi="Times New Roman" w:cs="Times New Roman"/>
          <w:sz w:val="28"/>
          <w:szCs w:val="28"/>
        </w:rPr>
        <w:t>У 201</w:t>
      </w:r>
      <w:r w:rsidR="00EB79F0">
        <w:rPr>
          <w:rFonts w:ascii="Times New Roman" w:hAnsi="Times New Roman" w:cs="Times New Roman"/>
          <w:sz w:val="28"/>
          <w:szCs w:val="28"/>
        </w:rPr>
        <w:t>8</w:t>
      </w:r>
      <w:r w:rsidRPr="005B7711">
        <w:rPr>
          <w:rFonts w:ascii="Times New Roman" w:hAnsi="Times New Roman" w:cs="Times New Roman"/>
          <w:sz w:val="28"/>
          <w:szCs w:val="28"/>
        </w:rPr>
        <w:t xml:space="preserve"> році бюджетними установами всіх рівнів спожито </w:t>
      </w:r>
      <w:r w:rsidR="00EB79F0">
        <w:rPr>
          <w:rFonts w:ascii="Times New Roman" w:hAnsi="Times New Roman" w:cs="Times New Roman"/>
          <w:sz w:val="28"/>
          <w:szCs w:val="28"/>
        </w:rPr>
        <w:t>12,833</w:t>
      </w:r>
      <w:r w:rsidRPr="005B7711">
        <w:rPr>
          <w:rFonts w:ascii="Times New Roman" w:hAnsi="Times New Roman" w:cs="Times New Roman"/>
          <w:sz w:val="28"/>
          <w:szCs w:val="28"/>
        </w:rPr>
        <w:t xml:space="preserve"> тис. </w:t>
      </w:r>
      <w:proofErr w:type="spellStart"/>
      <w:r w:rsidRPr="005B7711">
        <w:rPr>
          <w:rFonts w:ascii="Times New Roman" w:hAnsi="Times New Roman" w:cs="Times New Roman"/>
          <w:sz w:val="28"/>
          <w:szCs w:val="28"/>
        </w:rPr>
        <w:t>Гкал</w:t>
      </w:r>
      <w:proofErr w:type="spellEnd"/>
      <w:r w:rsidR="001C24F7">
        <w:rPr>
          <w:rFonts w:ascii="Times New Roman" w:hAnsi="Times New Roman" w:cs="Times New Roman"/>
          <w:sz w:val="28"/>
          <w:szCs w:val="28"/>
        </w:rPr>
        <w:t xml:space="preserve"> </w:t>
      </w:r>
      <w:r w:rsidRPr="005B7711">
        <w:rPr>
          <w:rFonts w:ascii="Times New Roman" w:hAnsi="Times New Roman" w:cs="Times New Roman"/>
          <w:sz w:val="28"/>
          <w:szCs w:val="28"/>
        </w:rPr>
        <w:t xml:space="preserve">теплової енергії на загальну суму </w:t>
      </w:r>
      <w:r w:rsidR="001C24F7">
        <w:rPr>
          <w:rFonts w:ascii="Times New Roman" w:hAnsi="Times New Roman" w:cs="Times New Roman"/>
          <w:sz w:val="28"/>
          <w:szCs w:val="28"/>
        </w:rPr>
        <w:t>26</w:t>
      </w:r>
      <w:r w:rsidR="00776161">
        <w:rPr>
          <w:rFonts w:ascii="Times New Roman" w:hAnsi="Times New Roman" w:cs="Times New Roman"/>
          <w:sz w:val="28"/>
          <w:szCs w:val="28"/>
        </w:rPr>
        <w:t xml:space="preserve"> </w:t>
      </w:r>
      <w:r w:rsidR="001C24F7">
        <w:rPr>
          <w:rFonts w:ascii="Times New Roman" w:hAnsi="Times New Roman" w:cs="Times New Roman"/>
          <w:sz w:val="28"/>
          <w:szCs w:val="28"/>
        </w:rPr>
        <w:t>699,226 тис.</w:t>
      </w:r>
      <w:r w:rsidR="00776161">
        <w:rPr>
          <w:rFonts w:ascii="Times New Roman" w:hAnsi="Times New Roman" w:cs="Times New Roman"/>
          <w:sz w:val="28"/>
          <w:szCs w:val="28"/>
        </w:rPr>
        <w:t xml:space="preserve"> </w:t>
      </w:r>
      <w:r w:rsidRPr="005B7711">
        <w:rPr>
          <w:rFonts w:ascii="Times New Roman" w:hAnsi="Times New Roman" w:cs="Times New Roman"/>
          <w:sz w:val="28"/>
          <w:szCs w:val="28"/>
        </w:rPr>
        <w:t>грн.</w:t>
      </w:r>
      <w:r w:rsidR="001C24F7">
        <w:rPr>
          <w:rFonts w:ascii="Times New Roman" w:hAnsi="Times New Roman" w:cs="Times New Roman"/>
          <w:sz w:val="28"/>
          <w:szCs w:val="28"/>
        </w:rPr>
        <w:t xml:space="preserve"> з яких </w:t>
      </w:r>
      <w:r w:rsidR="00CE5D75">
        <w:rPr>
          <w:rFonts w:ascii="Times New Roman" w:hAnsi="Times New Roman" w:cs="Times New Roman"/>
          <w:sz w:val="28"/>
          <w:szCs w:val="28"/>
        </w:rPr>
        <w:t>було сплачено</w:t>
      </w:r>
      <w:r w:rsidR="00FD22E5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C24F7">
        <w:rPr>
          <w:rFonts w:ascii="Times New Roman" w:hAnsi="Times New Roman" w:cs="Times New Roman"/>
          <w:sz w:val="28"/>
          <w:szCs w:val="28"/>
        </w:rPr>
        <w:t>22</w:t>
      </w:r>
      <w:r w:rsidR="00776161">
        <w:rPr>
          <w:rFonts w:ascii="Times New Roman" w:hAnsi="Times New Roman" w:cs="Times New Roman"/>
          <w:sz w:val="28"/>
          <w:szCs w:val="28"/>
        </w:rPr>
        <w:t xml:space="preserve"> </w:t>
      </w:r>
      <w:r w:rsidR="001C24F7">
        <w:rPr>
          <w:rFonts w:ascii="Times New Roman" w:hAnsi="Times New Roman" w:cs="Times New Roman"/>
          <w:sz w:val="28"/>
          <w:szCs w:val="28"/>
        </w:rPr>
        <w:t>118,5 тис.</w:t>
      </w:r>
      <w:r w:rsidR="00776161">
        <w:rPr>
          <w:rFonts w:ascii="Times New Roman" w:hAnsi="Times New Roman" w:cs="Times New Roman"/>
          <w:sz w:val="28"/>
          <w:szCs w:val="28"/>
        </w:rPr>
        <w:t xml:space="preserve"> </w:t>
      </w:r>
      <w:r w:rsidR="001C24F7">
        <w:rPr>
          <w:rFonts w:ascii="Times New Roman" w:hAnsi="Times New Roman" w:cs="Times New Roman"/>
          <w:sz w:val="28"/>
          <w:szCs w:val="28"/>
        </w:rPr>
        <w:t>грн.</w:t>
      </w:r>
      <w:r w:rsidR="00D959D9">
        <w:rPr>
          <w:rFonts w:ascii="Times New Roman" w:hAnsi="Times New Roman" w:cs="Times New Roman"/>
          <w:sz w:val="28"/>
          <w:szCs w:val="28"/>
        </w:rPr>
        <w:t xml:space="preserve">, </w:t>
      </w:r>
      <w:r w:rsidRPr="005B7711">
        <w:rPr>
          <w:rFonts w:ascii="Times New Roman" w:hAnsi="Times New Roman" w:cs="Times New Roman"/>
          <w:sz w:val="28"/>
          <w:szCs w:val="28"/>
        </w:rPr>
        <w:t>окремі бюджетні установи</w:t>
      </w:r>
      <w:r w:rsidR="00D959D9">
        <w:rPr>
          <w:rFonts w:ascii="Times New Roman" w:hAnsi="Times New Roman" w:cs="Times New Roman"/>
          <w:sz w:val="28"/>
          <w:szCs w:val="28"/>
        </w:rPr>
        <w:t xml:space="preserve"> не повністю </w:t>
      </w:r>
      <w:r w:rsidRPr="005B7711">
        <w:rPr>
          <w:rFonts w:ascii="Times New Roman" w:hAnsi="Times New Roman" w:cs="Times New Roman"/>
          <w:sz w:val="28"/>
          <w:szCs w:val="28"/>
        </w:rPr>
        <w:t>розрахувалися за спожиту теплову енергію</w:t>
      </w:r>
      <w:r w:rsidR="00D959D9">
        <w:t>.</w:t>
      </w:r>
    </w:p>
    <w:p w:rsidR="005B7711" w:rsidRPr="005B7711" w:rsidRDefault="00E82FC3" w:rsidP="00B14EB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B7711" w:rsidRPr="00E63C90">
        <w:rPr>
          <w:rFonts w:ascii="Times New Roman" w:hAnsi="Times New Roman" w:cs="Times New Roman"/>
          <w:sz w:val="28"/>
          <w:szCs w:val="28"/>
        </w:rPr>
        <w:t>Споживачам категорії «Інші споживачі</w:t>
      </w:r>
      <w:r w:rsidR="001C24F7" w:rsidRPr="00E63C90">
        <w:rPr>
          <w:rFonts w:ascii="Times New Roman" w:hAnsi="Times New Roman" w:cs="Times New Roman"/>
          <w:sz w:val="28"/>
          <w:szCs w:val="28"/>
        </w:rPr>
        <w:t>» (суб’єктам підприємницької діяльності) у 2018 році відпущено 2,719</w:t>
      </w:r>
      <w:r w:rsidR="005B7711" w:rsidRPr="00E63C90">
        <w:rPr>
          <w:rFonts w:ascii="Times New Roman" w:hAnsi="Times New Roman" w:cs="Times New Roman"/>
          <w:sz w:val="28"/>
          <w:szCs w:val="28"/>
        </w:rPr>
        <w:t xml:space="preserve"> тис. </w:t>
      </w:r>
      <w:proofErr w:type="spellStart"/>
      <w:r w:rsidR="005B7711" w:rsidRPr="00E63C90">
        <w:rPr>
          <w:rFonts w:ascii="Times New Roman" w:hAnsi="Times New Roman" w:cs="Times New Roman"/>
          <w:sz w:val="28"/>
          <w:szCs w:val="28"/>
        </w:rPr>
        <w:t>Гкал</w:t>
      </w:r>
      <w:proofErr w:type="spellEnd"/>
      <w:r w:rsidR="005B7711" w:rsidRPr="00E63C90">
        <w:rPr>
          <w:rFonts w:ascii="Times New Roman" w:hAnsi="Times New Roman" w:cs="Times New Roman"/>
          <w:sz w:val="28"/>
          <w:szCs w:val="28"/>
        </w:rPr>
        <w:t xml:space="preserve"> теплової енергії на загальну</w:t>
      </w:r>
      <w:r w:rsidR="00B14EB1">
        <w:rPr>
          <w:rFonts w:ascii="Times New Roman" w:hAnsi="Times New Roman" w:cs="Times New Roman"/>
          <w:sz w:val="28"/>
          <w:szCs w:val="28"/>
        </w:rPr>
        <w:t xml:space="preserve"> </w:t>
      </w:r>
      <w:r w:rsidR="005B7711" w:rsidRPr="00E63C90">
        <w:rPr>
          <w:rFonts w:ascii="Times New Roman" w:hAnsi="Times New Roman" w:cs="Times New Roman"/>
          <w:sz w:val="28"/>
          <w:szCs w:val="28"/>
        </w:rPr>
        <w:t xml:space="preserve">суму </w:t>
      </w:r>
      <w:r w:rsidR="00D959D9" w:rsidRPr="00E63C90">
        <w:rPr>
          <w:rFonts w:ascii="Times New Roman" w:hAnsi="Times New Roman" w:cs="Times New Roman"/>
          <w:sz w:val="28"/>
          <w:szCs w:val="28"/>
        </w:rPr>
        <w:t>4</w:t>
      </w:r>
      <w:r w:rsidR="00776161">
        <w:rPr>
          <w:rFonts w:ascii="Times New Roman" w:hAnsi="Times New Roman" w:cs="Times New Roman"/>
          <w:sz w:val="28"/>
          <w:szCs w:val="28"/>
        </w:rPr>
        <w:t xml:space="preserve"> </w:t>
      </w:r>
      <w:r w:rsidR="00D959D9" w:rsidRPr="00E63C90">
        <w:rPr>
          <w:rFonts w:ascii="Times New Roman" w:hAnsi="Times New Roman" w:cs="Times New Roman"/>
          <w:sz w:val="28"/>
          <w:szCs w:val="28"/>
        </w:rPr>
        <w:t xml:space="preserve">814,533 </w:t>
      </w:r>
      <w:r w:rsidR="00B4135B" w:rsidRPr="00E63C90">
        <w:rPr>
          <w:rFonts w:ascii="Times New Roman" w:hAnsi="Times New Roman" w:cs="Times New Roman"/>
          <w:sz w:val="28"/>
          <w:szCs w:val="28"/>
        </w:rPr>
        <w:t>тис.</w:t>
      </w:r>
      <w:r w:rsidR="00776161">
        <w:rPr>
          <w:rFonts w:ascii="Times New Roman" w:hAnsi="Times New Roman" w:cs="Times New Roman"/>
          <w:sz w:val="28"/>
          <w:szCs w:val="28"/>
        </w:rPr>
        <w:t xml:space="preserve"> </w:t>
      </w:r>
      <w:r w:rsidR="005B7711" w:rsidRPr="00E63C90">
        <w:rPr>
          <w:rFonts w:ascii="Times New Roman" w:hAnsi="Times New Roman" w:cs="Times New Roman"/>
          <w:sz w:val="28"/>
          <w:szCs w:val="28"/>
        </w:rPr>
        <w:t xml:space="preserve">грн. За цей період надійшло платежів на суму </w:t>
      </w:r>
      <w:r w:rsidR="00FD22E5" w:rsidRPr="00E63C9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B4135B" w:rsidRPr="00E63C90">
        <w:rPr>
          <w:rFonts w:ascii="Times New Roman" w:hAnsi="Times New Roman" w:cs="Times New Roman"/>
          <w:sz w:val="28"/>
          <w:szCs w:val="28"/>
        </w:rPr>
        <w:t xml:space="preserve"> </w:t>
      </w:r>
      <w:r w:rsidR="00D959D9" w:rsidRPr="00E63C90">
        <w:rPr>
          <w:rFonts w:ascii="Times New Roman" w:hAnsi="Times New Roman" w:cs="Times New Roman"/>
          <w:sz w:val="28"/>
          <w:szCs w:val="28"/>
        </w:rPr>
        <w:t>4</w:t>
      </w:r>
      <w:r w:rsidR="00776161">
        <w:rPr>
          <w:rFonts w:ascii="Times New Roman" w:hAnsi="Times New Roman" w:cs="Times New Roman"/>
          <w:sz w:val="28"/>
          <w:szCs w:val="28"/>
        </w:rPr>
        <w:t xml:space="preserve"> </w:t>
      </w:r>
      <w:r w:rsidR="00D959D9" w:rsidRPr="00E63C90">
        <w:rPr>
          <w:rFonts w:ascii="Times New Roman" w:hAnsi="Times New Roman" w:cs="Times New Roman"/>
          <w:sz w:val="28"/>
          <w:szCs w:val="28"/>
        </w:rPr>
        <w:t xml:space="preserve">788,809 </w:t>
      </w:r>
      <w:r w:rsidR="00B4135B" w:rsidRPr="00E63C90">
        <w:rPr>
          <w:rFonts w:ascii="Times New Roman" w:hAnsi="Times New Roman" w:cs="Times New Roman"/>
          <w:sz w:val="28"/>
          <w:szCs w:val="28"/>
        </w:rPr>
        <w:t>тис.</w:t>
      </w:r>
      <w:r w:rsidR="00776161">
        <w:rPr>
          <w:rFonts w:ascii="Times New Roman" w:hAnsi="Times New Roman" w:cs="Times New Roman"/>
          <w:sz w:val="28"/>
          <w:szCs w:val="28"/>
        </w:rPr>
        <w:t xml:space="preserve"> </w:t>
      </w:r>
      <w:r w:rsidR="00B4135B" w:rsidRPr="00E63C90">
        <w:rPr>
          <w:rFonts w:ascii="Times New Roman" w:hAnsi="Times New Roman" w:cs="Times New Roman"/>
          <w:sz w:val="28"/>
          <w:szCs w:val="28"/>
        </w:rPr>
        <w:t>грн. За</w:t>
      </w:r>
      <w:r w:rsidR="005B7711" w:rsidRPr="00E63C90">
        <w:rPr>
          <w:rFonts w:ascii="Times New Roman" w:hAnsi="Times New Roman" w:cs="Times New Roman"/>
          <w:sz w:val="28"/>
          <w:szCs w:val="28"/>
        </w:rPr>
        <w:t>боргованість цієї категорії споживачів станом на кінець звітного року склала</w:t>
      </w:r>
      <w:r w:rsidR="00B4135B" w:rsidRPr="00E63C90">
        <w:rPr>
          <w:rFonts w:ascii="Times New Roman" w:hAnsi="Times New Roman" w:cs="Times New Roman"/>
          <w:sz w:val="28"/>
          <w:szCs w:val="28"/>
        </w:rPr>
        <w:t xml:space="preserve"> 2</w:t>
      </w:r>
      <w:r w:rsidR="00776161">
        <w:rPr>
          <w:rFonts w:ascii="Times New Roman" w:hAnsi="Times New Roman" w:cs="Times New Roman"/>
          <w:sz w:val="28"/>
          <w:szCs w:val="28"/>
        </w:rPr>
        <w:t xml:space="preserve"> </w:t>
      </w:r>
      <w:r w:rsidR="00B4135B" w:rsidRPr="00E63C90">
        <w:rPr>
          <w:rFonts w:ascii="Times New Roman" w:hAnsi="Times New Roman" w:cs="Times New Roman"/>
          <w:sz w:val="28"/>
          <w:szCs w:val="28"/>
        </w:rPr>
        <w:t>260,702 тис.</w:t>
      </w:r>
      <w:r w:rsidR="005B7711" w:rsidRPr="00E63C90">
        <w:rPr>
          <w:rFonts w:ascii="Times New Roman" w:hAnsi="Times New Roman" w:cs="Times New Roman"/>
          <w:sz w:val="28"/>
          <w:szCs w:val="28"/>
        </w:rPr>
        <w:t xml:space="preserve"> грн</w:t>
      </w:r>
      <w:r w:rsidR="00B4135B" w:rsidRPr="00E63C9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B7711" w:rsidRPr="005B7711" w:rsidRDefault="005B7711" w:rsidP="001954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711">
        <w:rPr>
          <w:rFonts w:ascii="Times New Roman" w:hAnsi="Times New Roman" w:cs="Times New Roman"/>
          <w:sz w:val="28"/>
          <w:szCs w:val="28"/>
        </w:rPr>
        <w:t>Для посилення платіжної дисципліни</w:t>
      </w:r>
      <w:r w:rsidR="00AF1EDB">
        <w:rPr>
          <w:rFonts w:ascii="Times New Roman" w:hAnsi="Times New Roman" w:cs="Times New Roman"/>
          <w:sz w:val="28"/>
          <w:szCs w:val="28"/>
        </w:rPr>
        <w:t xml:space="preserve"> споживачів</w:t>
      </w:r>
      <w:r w:rsidRPr="005B7711">
        <w:rPr>
          <w:rFonts w:ascii="Times New Roman" w:hAnsi="Times New Roman" w:cs="Times New Roman"/>
          <w:sz w:val="28"/>
          <w:szCs w:val="28"/>
        </w:rPr>
        <w:t xml:space="preserve"> </w:t>
      </w:r>
      <w:r w:rsidR="00B4135B">
        <w:rPr>
          <w:rFonts w:ascii="Times New Roman" w:hAnsi="Times New Roman" w:cs="Times New Roman"/>
          <w:sz w:val="28"/>
          <w:szCs w:val="28"/>
        </w:rPr>
        <w:t xml:space="preserve">працівниками підприємства </w:t>
      </w:r>
      <w:r w:rsidR="00AF1EDB">
        <w:rPr>
          <w:rFonts w:ascii="Times New Roman" w:hAnsi="Times New Roman" w:cs="Times New Roman"/>
          <w:sz w:val="28"/>
          <w:szCs w:val="28"/>
        </w:rPr>
        <w:t xml:space="preserve">постійно </w:t>
      </w:r>
      <w:r w:rsidR="00B4135B">
        <w:rPr>
          <w:rFonts w:ascii="Times New Roman" w:hAnsi="Times New Roman" w:cs="Times New Roman"/>
          <w:sz w:val="28"/>
          <w:szCs w:val="28"/>
        </w:rPr>
        <w:t>проводи</w:t>
      </w:r>
      <w:r w:rsidR="00AF1EDB">
        <w:rPr>
          <w:rFonts w:ascii="Times New Roman" w:hAnsi="Times New Roman" w:cs="Times New Roman"/>
          <w:sz w:val="28"/>
          <w:szCs w:val="28"/>
        </w:rPr>
        <w:t>ться робота по роз</w:t>
      </w:r>
      <w:r w:rsidR="00AF1EDB" w:rsidRPr="00AF1EDB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="00AF1EDB">
        <w:rPr>
          <w:rFonts w:ascii="Times New Roman" w:hAnsi="Times New Roman" w:cs="Times New Roman"/>
          <w:sz w:val="28"/>
          <w:szCs w:val="28"/>
          <w:lang w:val="ru-RU"/>
        </w:rPr>
        <w:t>ясненню</w:t>
      </w:r>
      <w:proofErr w:type="spellEnd"/>
      <w:r w:rsidR="00AF1E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F1EDB">
        <w:rPr>
          <w:rFonts w:ascii="Times New Roman" w:hAnsi="Times New Roman" w:cs="Times New Roman"/>
          <w:sz w:val="28"/>
          <w:szCs w:val="28"/>
          <w:lang w:val="ru-RU"/>
        </w:rPr>
        <w:t>необхідності</w:t>
      </w:r>
      <w:proofErr w:type="spellEnd"/>
      <w:r w:rsidR="00AF1E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F1EDB">
        <w:rPr>
          <w:rFonts w:ascii="Times New Roman" w:hAnsi="Times New Roman" w:cs="Times New Roman"/>
          <w:sz w:val="28"/>
          <w:szCs w:val="28"/>
          <w:lang w:val="ru-RU"/>
        </w:rPr>
        <w:t>вчасної</w:t>
      </w:r>
      <w:proofErr w:type="spellEnd"/>
      <w:r w:rsidR="00AF1EDB">
        <w:rPr>
          <w:rFonts w:ascii="Times New Roman" w:hAnsi="Times New Roman" w:cs="Times New Roman"/>
          <w:sz w:val="28"/>
          <w:szCs w:val="28"/>
          <w:lang w:val="ru-RU"/>
        </w:rPr>
        <w:t xml:space="preserve"> оплати </w:t>
      </w:r>
      <w:proofErr w:type="spellStart"/>
      <w:r w:rsidR="00AF1EDB">
        <w:rPr>
          <w:rFonts w:ascii="Times New Roman" w:hAnsi="Times New Roman" w:cs="Times New Roman"/>
          <w:sz w:val="28"/>
          <w:szCs w:val="28"/>
          <w:lang w:val="ru-RU"/>
        </w:rPr>
        <w:t>послуг</w:t>
      </w:r>
      <w:proofErr w:type="spellEnd"/>
      <w:r w:rsidR="00AF1EDB">
        <w:rPr>
          <w:rFonts w:ascii="Times New Roman" w:hAnsi="Times New Roman" w:cs="Times New Roman"/>
          <w:sz w:val="28"/>
          <w:szCs w:val="28"/>
        </w:rPr>
        <w:t>, вручення повідомлень про наявність заборгованості, укладання договорів реструктуризації заборгованості</w:t>
      </w:r>
    </w:p>
    <w:p w:rsidR="00CA5FCB" w:rsidRDefault="00E82FC3" w:rsidP="002849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84956" w:rsidRDefault="00284956" w:rsidP="002849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4956" w:rsidRDefault="00284956" w:rsidP="002849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4956" w:rsidRDefault="00284956" w:rsidP="002849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4956" w:rsidRDefault="00284956" w:rsidP="002849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4956" w:rsidRDefault="00284956" w:rsidP="002849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4956" w:rsidRDefault="00284956" w:rsidP="002849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4956" w:rsidRDefault="00284956" w:rsidP="002849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4956" w:rsidRDefault="00284956" w:rsidP="002849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4956" w:rsidRDefault="00284956" w:rsidP="00284956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1EDB" w:rsidRDefault="00AF1EDB" w:rsidP="00284956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1EDB" w:rsidRDefault="00AF1EDB" w:rsidP="00284956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1EDB" w:rsidRDefault="00AF1EDB" w:rsidP="00284956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1EDB" w:rsidRDefault="00AF1EDB" w:rsidP="00284956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1EDB" w:rsidRDefault="00AF1EDB" w:rsidP="00284956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1EDB" w:rsidRDefault="00AF1EDB" w:rsidP="00284956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5FCB" w:rsidRDefault="00CA5FCB" w:rsidP="001954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6D54" w:rsidRPr="004F6D54" w:rsidRDefault="004F6D54" w:rsidP="001954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6D54">
        <w:rPr>
          <w:rFonts w:ascii="Times New Roman" w:hAnsi="Times New Roman" w:cs="Times New Roman"/>
          <w:b/>
          <w:sz w:val="28"/>
          <w:szCs w:val="28"/>
        </w:rPr>
        <w:t>V. ТАРИФНА ПОЛІТИКА</w:t>
      </w:r>
    </w:p>
    <w:p w:rsidR="004F6D54" w:rsidRPr="004F6D54" w:rsidRDefault="004F6D54" w:rsidP="0019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6D54" w:rsidRPr="004F6D54" w:rsidRDefault="004F6D54" w:rsidP="001954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Теплоенерго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284956">
        <w:rPr>
          <w:rFonts w:ascii="Times New Roman" w:hAnsi="Times New Roman" w:cs="Times New Roman"/>
          <w:sz w:val="28"/>
          <w:szCs w:val="28"/>
        </w:rPr>
        <w:t xml:space="preserve">є ліцензіатом Полтавської обласної Держадміністрації з виробництва, транспортування та постачання теплової енергії. </w:t>
      </w:r>
      <w:r w:rsidR="00AF1EDB">
        <w:rPr>
          <w:rFonts w:ascii="Times New Roman" w:hAnsi="Times New Roman" w:cs="Times New Roman"/>
          <w:sz w:val="28"/>
          <w:szCs w:val="28"/>
        </w:rPr>
        <w:t>Т</w:t>
      </w:r>
      <w:r w:rsidR="00284956">
        <w:rPr>
          <w:rFonts w:ascii="Times New Roman" w:hAnsi="Times New Roman" w:cs="Times New Roman"/>
          <w:sz w:val="28"/>
          <w:szCs w:val="28"/>
        </w:rPr>
        <w:t>арифи</w:t>
      </w:r>
      <w:r w:rsidR="00AF1EDB">
        <w:rPr>
          <w:rFonts w:ascii="Times New Roman" w:hAnsi="Times New Roman" w:cs="Times New Roman"/>
          <w:sz w:val="28"/>
          <w:szCs w:val="28"/>
        </w:rPr>
        <w:t xml:space="preserve"> на послуги</w:t>
      </w:r>
      <w:r w:rsidR="00284956">
        <w:rPr>
          <w:rFonts w:ascii="Times New Roman" w:hAnsi="Times New Roman" w:cs="Times New Roman"/>
          <w:sz w:val="28"/>
          <w:szCs w:val="28"/>
        </w:rPr>
        <w:t xml:space="preserve"> підприємству </w:t>
      </w:r>
      <w:r w:rsidR="00E63C90">
        <w:rPr>
          <w:rFonts w:ascii="Times New Roman" w:hAnsi="Times New Roman" w:cs="Times New Roman"/>
          <w:sz w:val="28"/>
          <w:szCs w:val="28"/>
        </w:rPr>
        <w:t>встановлює Виконавчий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3C90">
        <w:rPr>
          <w:rFonts w:ascii="Times New Roman" w:hAnsi="Times New Roman" w:cs="Times New Roman"/>
          <w:sz w:val="28"/>
          <w:szCs w:val="28"/>
        </w:rPr>
        <w:t>комітет</w:t>
      </w:r>
      <w:r>
        <w:rPr>
          <w:rFonts w:ascii="Times New Roman" w:hAnsi="Times New Roman" w:cs="Times New Roman"/>
          <w:sz w:val="28"/>
          <w:szCs w:val="28"/>
        </w:rPr>
        <w:t xml:space="preserve"> Кременчуцької міської ради</w:t>
      </w:r>
      <w:r w:rsidR="00E63C90">
        <w:rPr>
          <w:rFonts w:ascii="Times New Roman" w:hAnsi="Times New Roman" w:cs="Times New Roman"/>
          <w:sz w:val="28"/>
          <w:szCs w:val="28"/>
        </w:rPr>
        <w:t xml:space="preserve"> Полтавської </w:t>
      </w:r>
      <w:r w:rsidR="00284956">
        <w:rPr>
          <w:rFonts w:ascii="Times New Roman" w:hAnsi="Times New Roman" w:cs="Times New Roman"/>
          <w:sz w:val="28"/>
          <w:szCs w:val="28"/>
        </w:rPr>
        <w:t>області</w:t>
      </w:r>
      <w:r w:rsidR="00E63C90">
        <w:rPr>
          <w:rFonts w:ascii="Times New Roman" w:hAnsi="Times New Roman" w:cs="Times New Roman"/>
          <w:sz w:val="28"/>
          <w:szCs w:val="28"/>
        </w:rPr>
        <w:t>.</w:t>
      </w:r>
      <w:r w:rsidRPr="004F6D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4956" w:rsidRDefault="00CD177E" w:rsidP="0019541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63C90">
        <w:rPr>
          <w:rFonts w:ascii="Times New Roman" w:hAnsi="Times New Roman" w:cs="Times New Roman"/>
          <w:sz w:val="28"/>
          <w:szCs w:val="28"/>
        </w:rPr>
        <w:t>гідно постанови</w:t>
      </w:r>
      <w:r w:rsidR="004F6D54" w:rsidRPr="004F6D54">
        <w:rPr>
          <w:rFonts w:ascii="Times New Roman" w:hAnsi="Times New Roman" w:cs="Times New Roman"/>
          <w:sz w:val="28"/>
          <w:szCs w:val="28"/>
        </w:rPr>
        <w:t xml:space="preserve"> Кабінету Міністрів України від </w:t>
      </w:r>
      <w:r w:rsidR="00E276F7">
        <w:rPr>
          <w:rFonts w:ascii="Times New Roman" w:hAnsi="Times New Roman" w:cs="Times New Roman"/>
          <w:sz w:val="28"/>
          <w:szCs w:val="28"/>
        </w:rPr>
        <w:t>01.06.2011 р. №</w:t>
      </w:r>
      <w:r w:rsidR="00AF1EDB">
        <w:rPr>
          <w:rFonts w:ascii="Times New Roman" w:hAnsi="Times New Roman" w:cs="Times New Roman"/>
          <w:sz w:val="28"/>
          <w:szCs w:val="28"/>
        </w:rPr>
        <w:t xml:space="preserve"> </w:t>
      </w:r>
      <w:r w:rsidR="00E276F7">
        <w:rPr>
          <w:rFonts w:ascii="Times New Roman" w:hAnsi="Times New Roman" w:cs="Times New Roman"/>
          <w:sz w:val="28"/>
          <w:szCs w:val="28"/>
        </w:rPr>
        <w:t>869</w:t>
      </w:r>
      <w:r w:rsidR="00E63C90" w:rsidRPr="00E63C90">
        <w:t xml:space="preserve"> </w:t>
      </w:r>
      <w:r w:rsidR="00E63C90" w:rsidRPr="00E63C90">
        <w:rPr>
          <w:rFonts w:ascii="Times New Roman" w:hAnsi="Times New Roman" w:cs="Times New Roman"/>
          <w:sz w:val="28"/>
          <w:szCs w:val="28"/>
        </w:rPr>
        <w:t>та на підставі п.2.3. Наказу Міністерства регіонального розвитку, будівництва та житлово-комунального господарства України від 30.07.2012</w:t>
      </w:r>
      <w:r w:rsidR="002229A4">
        <w:rPr>
          <w:rFonts w:ascii="Times New Roman" w:hAnsi="Times New Roman" w:cs="Times New Roman"/>
          <w:sz w:val="28"/>
          <w:szCs w:val="28"/>
        </w:rPr>
        <w:t xml:space="preserve"> </w:t>
      </w:r>
      <w:r w:rsidR="00E63C90" w:rsidRPr="00E63C90">
        <w:rPr>
          <w:rFonts w:ascii="Times New Roman" w:hAnsi="Times New Roman" w:cs="Times New Roman"/>
          <w:sz w:val="28"/>
          <w:szCs w:val="28"/>
        </w:rPr>
        <w:t>р. №</w:t>
      </w:r>
      <w:r w:rsidR="002229A4">
        <w:rPr>
          <w:rFonts w:ascii="Times New Roman" w:hAnsi="Times New Roman" w:cs="Times New Roman"/>
          <w:sz w:val="28"/>
          <w:szCs w:val="28"/>
        </w:rPr>
        <w:t xml:space="preserve"> </w:t>
      </w:r>
      <w:r w:rsidR="00E63C90" w:rsidRPr="00E63C90">
        <w:rPr>
          <w:rFonts w:ascii="Times New Roman" w:hAnsi="Times New Roman" w:cs="Times New Roman"/>
          <w:sz w:val="28"/>
          <w:szCs w:val="28"/>
        </w:rPr>
        <w:t>390</w:t>
      </w:r>
      <w:r w:rsidR="00284956">
        <w:rPr>
          <w:rFonts w:ascii="Times New Roman" w:hAnsi="Times New Roman" w:cs="Times New Roman"/>
          <w:sz w:val="28"/>
          <w:szCs w:val="28"/>
        </w:rPr>
        <w:t xml:space="preserve"> при встановленні кори</w:t>
      </w:r>
      <w:r w:rsidR="00E63C90">
        <w:rPr>
          <w:rFonts w:ascii="Times New Roman" w:hAnsi="Times New Roman" w:cs="Times New Roman"/>
          <w:sz w:val="28"/>
          <w:szCs w:val="28"/>
        </w:rPr>
        <w:t>гованих тарифів враховуються</w:t>
      </w:r>
      <w:r w:rsidR="00E276F7">
        <w:rPr>
          <w:rFonts w:ascii="Times New Roman" w:hAnsi="Times New Roman" w:cs="Times New Roman"/>
          <w:sz w:val="28"/>
          <w:szCs w:val="28"/>
        </w:rPr>
        <w:t xml:space="preserve"> показники річного обсягу виробництва, транспортування місцевими (розподільчими) тепловими мережами, постачання теплової енергії і надання послуг з централізованого опалення та централізованого постачання гарячої води</w:t>
      </w:r>
      <w:r w:rsidR="00E63C90">
        <w:rPr>
          <w:rFonts w:ascii="Times New Roman" w:hAnsi="Times New Roman" w:cs="Times New Roman"/>
          <w:sz w:val="28"/>
          <w:szCs w:val="28"/>
        </w:rPr>
        <w:t>, а також</w:t>
      </w:r>
      <w:r w:rsidR="00E276F7">
        <w:rPr>
          <w:rFonts w:ascii="Times New Roman" w:hAnsi="Times New Roman" w:cs="Times New Roman"/>
          <w:sz w:val="28"/>
          <w:szCs w:val="28"/>
        </w:rPr>
        <w:t xml:space="preserve"> </w:t>
      </w:r>
      <w:r w:rsidR="007644C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276F7">
        <w:rPr>
          <w:rFonts w:ascii="Times New Roman" w:hAnsi="Times New Roman" w:cs="Times New Roman"/>
          <w:sz w:val="28"/>
          <w:szCs w:val="28"/>
        </w:rPr>
        <w:t>економічно</w:t>
      </w:r>
      <w:r w:rsidR="007644CA">
        <w:rPr>
          <w:rFonts w:ascii="Times New Roman" w:hAnsi="Times New Roman" w:cs="Times New Roman"/>
          <w:sz w:val="28"/>
          <w:szCs w:val="28"/>
        </w:rPr>
        <w:t xml:space="preserve"> </w:t>
      </w:r>
      <w:r w:rsidR="00E276F7">
        <w:rPr>
          <w:rFonts w:ascii="Times New Roman" w:hAnsi="Times New Roman" w:cs="Times New Roman"/>
          <w:sz w:val="28"/>
          <w:szCs w:val="28"/>
        </w:rPr>
        <w:t>-</w:t>
      </w:r>
      <w:r w:rsidR="007644CA">
        <w:rPr>
          <w:rFonts w:ascii="Times New Roman" w:hAnsi="Times New Roman" w:cs="Times New Roman"/>
          <w:sz w:val="28"/>
          <w:szCs w:val="28"/>
        </w:rPr>
        <w:t xml:space="preserve"> обґрунтовані</w:t>
      </w:r>
      <w:r w:rsidR="00E276F7">
        <w:rPr>
          <w:rFonts w:ascii="Times New Roman" w:hAnsi="Times New Roman" w:cs="Times New Roman"/>
          <w:sz w:val="28"/>
          <w:szCs w:val="28"/>
        </w:rPr>
        <w:t xml:space="preserve"> планові витрати в розрізі статей витрат</w:t>
      </w:r>
      <w:r w:rsidR="00E63C9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E4E98" w:rsidRDefault="002229A4" w:rsidP="002E4E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Протягом</w:t>
      </w:r>
      <w:r w:rsidR="00284956">
        <w:rPr>
          <w:rFonts w:ascii="Times New Roman" w:hAnsi="Times New Roman" w:cs="Times New Roman"/>
          <w:sz w:val="28"/>
          <w:szCs w:val="28"/>
        </w:rPr>
        <w:t xml:space="preserve"> року КП «</w:t>
      </w:r>
      <w:proofErr w:type="spellStart"/>
      <w:r w:rsidR="00284956">
        <w:rPr>
          <w:rFonts w:ascii="Times New Roman" w:hAnsi="Times New Roman" w:cs="Times New Roman"/>
          <w:sz w:val="28"/>
          <w:szCs w:val="28"/>
        </w:rPr>
        <w:t>Теплоенерго</w:t>
      </w:r>
      <w:proofErr w:type="spellEnd"/>
      <w:r w:rsidR="00284956">
        <w:rPr>
          <w:rFonts w:ascii="Times New Roman" w:hAnsi="Times New Roman" w:cs="Times New Roman"/>
          <w:sz w:val="28"/>
          <w:szCs w:val="28"/>
        </w:rPr>
        <w:t>» вимушене було декілька раз</w:t>
      </w:r>
      <w:r>
        <w:rPr>
          <w:rFonts w:ascii="Times New Roman" w:hAnsi="Times New Roman" w:cs="Times New Roman"/>
          <w:sz w:val="28"/>
          <w:szCs w:val="28"/>
        </w:rPr>
        <w:t>ів</w:t>
      </w:r>
      <w:r w:rsidR="00284956">
        <w:rPr>
          <w:rFonts w:ascii="Times New Roman" w:hAnsi="Times New Roman" w:cs="Times New Roman"/>
          <w:sz w:val="28"/>
          <w:szCs w:val="28"/>
        </w:rPr>
        <w:t xml:space="preserve"> коригувати тарифи </w:t>
      </w:r>
      <w:r>
        <w:rPr>
          <w:rFonts w:ascii="Times New Roman" w:hAnsi="Times New Roman" w:cs="Times New Roman"/>
          <w:sz w:val="28"/>
          <w:szCs w:val="28"/>
        </w:rPr>
        <w:t>на послуги</w:t>
      </w:r>
      <w:r w:rsidR="00284956">
        <w:rPr>
          <w:rFonts w:ascii="Times New Roman" w:hAnsi="Times New Roman" w:cs="Times New Roman"/>
          <w:sz w:val="28"/>
          <w:szCs w:val="28"/>
        </w:rPr>
        <w:t xml:space="preserve"> </w:t>
      </w:r>
      <w:r w:rsidR="002E4E98">
        <w:rPr>
          <w:rFonts w:ascii="Times New Roman" w:hAnsi="Times New Roman" w:cs="Times New Roman"/>
          <w:sz w:val="28"/>
          <w:szCs w:val="28"/>
        </w:rPr>
        <w:t xml:space="preserve">у зв’язку </w:t>
      </w:r>
      <w:r>
        <w:rPr>
          <w:rFonts w:ascii="Times New Roman" w:hAnsi="Times New Roman" w:cs="Times New Roman"/>
          <w:sz w:val="28"/>
          <w:szCs w:val="28"/>
        </w:rPr>
        <w:t>зі</w:t>
      </w:r>
      <w:r w:rsidR="002E4E98">
        <w:rPr>
          <w:rFonts w:ascii="Times New Roman" w:hAnsi="Times New Roman" w:cs="Times New Roman"/>
          <w:sz w:val="28"/>
          <w:szCs w:val="28"/>
        </w:rPr>
        <w:t xml:space="preserve"> збільшенням вартості основних складових тарифу.</w:t>
      </w:r>
    </w:p>
    <w:p w:rsidR="001C1EB6" w:rsidRDefault="002E4E98" w:rsidP="002E4E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Перше коригування </w:t>
      </w:r>
      <w:r w:rsidR="002229A4">
        <w:rPr>
          <w:rFonts w:ascii="Times New Roman" w:hAnsi="Times New Roman" w:cs="Times New Roman"/>
          <w:sz w:val="28"/>
          <w:szCs w:val="28"/>
        </w:rPr>
        <w:t>відбулося</w:t>
      </w:r>
      <w:r>
        <w:rPr>
          <w:rFonts w:ascii="Times New Roman" w:hAnsi="Times New Roman" w:cs="Times New Roman"/>
          <w:sz w:val="28"/>
          <w:szCs w:val="28"/>
        </w:rPr>
        <w:t xml:space="preserve"> 01.07.2018</w:t>
      </w:r>
      <w:r w:rsidR="002229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р. за рахунок збільшення </w:t>
      </w:r>
      <w:r w:rsidR="00CD17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тарифу на </w:t>
      </w:r>
      <w:r w:rsidR="00CD177E">
        <w:rPr>
          <w:rFonts w:ascii="Times New Roman" w:hAnsi="Times New Roman" w:cs="Times New Roman"/>
          <w:sz w:val="28"/>
          <w:szCs w:val="28"/>
        </w:rPr>
        <w:t>електроенергію 20%, водопос</w:t>
      </w:r>
      <w:r>
        <w:rPr>
          <w:rFonts w:ascii="Times New Roman" w:hAnsi="Times New Roman" w:cs="Times New Roman"/>
          <w:sz w:val="28"/>
          <w:szCs w:val="28"/>
        </w:rPr>
        <w:t xml:space="preserve">тачання 28%, водовідведення 11% та вартості </w:t>
      </w:r>
      <w:r w:rsidR="00CD177E">
        <w:rPr>
          <w:rFonts w:ascii="Times New Roman" w:hAnsi="Times New Roman" w:cs="Times New Roman"/>
          <w:sz w:val="28"/>
          <w:szCs w:val="28"/>
        </w:rPr>
        <w:t xml:space="preserve"> паливно-мастильних матеріалів на 25%.</w:t>
      </w:r>
    </w:p>
    <w:p w:rsidR="00EA0D9E" w:rsidRDefault="002E4E98" w:rsidP="001954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CD177E">
        <w:rPr>
          <w:rFonts w:ascii="Times New Roman" w:hAnsi="Times New Roman" w:cs="Times New Roman"/>
          <w:sz w:val="28"/>
          <w:szCs w:val="28"/>
        </w:rPr>
        <w:t>руге</w:t>
      </w:r>
      <w:r w:rsidR="007644CA">
        <w:rPr>
          <w:rFonts w:ascii="Times New Roman" w:hAnsi="Times New Roman" w:cs="Times New Roman"/>
          <w:sz w:val="28"/>
          <w:szCs w:val="28"/>
        </w:rPr>
        <w:t xml:space="preserve"> коригування </w:t>
      </w:r>
      <w:r w:rsidR="002229A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17.11.2018 р. </w:t>
      </w:r>
      <w:r w:rsidR="007644CA">
        <w:rPr>
          <w:rFonts w:ascii="Times New Roman" w:hAnsi="Times New Roman" w:cs="Times New Roman"/>
          <w:sz w:val="28"/>
          <w:szCs w:val="28"/>
        </w:rPr>
        <w:t>було викликане наступними факторами:</w:t>
      </w:r>
      <w:r w:rsidR="00CD17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77E" w:rsidRPr="00CD177E" w:rsidRDefault="00CD177E" w:rsidP="0019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177E">
        <w:rPr>
          <w:rFonts w:ascii="Times New Roman" w:hAnsi="Times New Roman" w:cs="Times New Roman"/>
          <w:sz w:val="28"/>
          <w:szCs w:val="28"/>
        </w:rPr>
        <w:t>-</w:t>
      </w:r>
      <w:r w:rsidRPr="00CD177E">
        <w:rPr>
          <w:rFonts w:ascii="Times New Roman" w:hAnsi="Times New Roman" w:cs="Times New Roman"/>
          <w:sz w:val="28"/>
          <w:szCs w:val="28"/>
        </w:rPr>
        <w:tab/>
        <w:t xml:space="preserve">збільшення витрат на покупну теплову енергію на 35,4%; </w:t>
      </w:r>
    </w:p>
    <w:p w:rsidR="00CD177E" w:rsidRPr="00CD177E" w:rsidRDefault="00CD177E" w:rsidP="0019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177E">
        <w:rPr>
          <w:rFonts w:ascii="Times New Roman" w:hAnsi="Times New Roman" w:cs="Times New Roman"/>
          <w:sz w:val="28"/>
          <w:szCs w:val="28"/>
        </w:rPr>
        <w:t>-</w:t>
      </w:r>
      <w:r w:rsidRPr="00CD177E">
        <w:rPr>
          <w:rFonts w:ascii="Times New Roman" w:hAnsi="Times New Roman" w:cs="Times New Roman"/>
          <w:sz w:val="28"/>
          <w:szCs w:val="28"/>
        </w:rPr>
        <w:tab/>
        <w:t xml:space="preserve">збільшення тарифу на електроенергію на 0,7%; </w:t>
      </w:r>
    </w:p>
    <w:p w:rsidR="00CD177E" w:rsidRPr="00CD177E" w:rsidRDefault="00CD177E" w:rsidP="0019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177E">
        <w:rPr>
          <w:rFonts w:ascii="Times New Roman" w:hAnsi="Times New Roman" w:cs="Times New Roman"/>
          <w:sz w:val="28"/>
          <w:szCs w:val="28"/>
        </w:rPr>
        <w:t>-</w:t>
      </w:r>
      <w:r w:rsidRPr="00CD177E">
        <w:rPr>
          <w:rFonts w:ascii="Times New Roman" w:hAnsi="Times New Roman" w:cs="Times New Roman"/>
          <w:sz w:val="28"/>
          <w:szCs w:val="28"/>
        </w:rPr>
        <w:tab/>
        <w:t>збільшення витрат на реагенти на 19,9%,</w:t>
      </w:r>
    </w:p>
    <w:p w:rsidR="00CD177E" w:rsidRPr="00CD177E" w:rsidRDefault="00CD177E" w:rsidP="0019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177E">
        <w:rPr>
          <w:rFonts w:ascii="Times New Roman" w:hAnsi="Times New Roman" w:cs="Times New Roman"/>
          <w:sz w:val="28"/>
          <w:szCs w:val="28"/>
        </w:rPr>
        <w:t>-</w:t>
      </w:r>
      <w:r w:rsidRPr="00CD177E">
        <w:rPr>
          <w:rFonts w:ascii="Times New Roman" w:hAnsi="Times New Roman" w:cs="Times New Roman"/>
          <w:sz w:val="28"/>
          <w:szCs w:val="28"/>
        </w:rPr>
        <w:tab/>
        <w:t>збільшення тарифів на опалення та гаряче водопостачання для утримання будівель на 38,7%;</w:t>
      </w:r>
    </w:p>
    <w:p w:rsidR="00CD177E" w:rsidRDefault="00CD177E" w:rsidP="001954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177E">
        <w:rPr>
          <w:rFonts w:ascii="Times New Roman" w:hAnsi="Times New Roman" w:cs="Times New Roman"/>
          <w:sz w:val="28"/>
          <w:szCs w:val="28"/>
        </w:rPr>
        <w:t>-</w:t>
      </w:r>
      <w:r w:rsidRPr="00CD177E">
        <w:rPr>
          <w:rFonts w:ascii="Times New Roman" w:hAnsi="Times New Roman" w:cs="Times New Roman"/>
          <w:sz w:val="28"/>
          <w:szCs w:val="28"/>
        </w:rPr>
        <w:tab/>
        <w:t>збільшення тарифів на централізоване водопостачання на 17,4%, та на централізоване водовідведення на 13,6%.</w:t>
      </w:r>
    </w:p>
    <w:p w:rsidR="00932DAD" w:rsidRDefault="00D770BC" w:rsidP="00932D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Збільшення в</w:t>
      </w:r>
      <w:r w:rsidR="00932DAD">
        <w:rPr>
          <w:rFonts w:ascii="Times New Roman" w:hAnsi="Times New Roman" w:cs="Times New Roman"/>
          <w:sz w:val="28"/>
          <w:szCs w:val="28"/>
        </w:rPr>
        <w:t>арт</w:t>
      </w:r>
      <w:r>
        <w:rPr>
          <w:rFonts w:ascii="Times New Roman" w:hAnsi="Times New Roman" w:cs="Times New Roman"/>
          <w:sz w:val="28"/>
          <w:szCs w:val="28"/>
        </w:rPr>
        <w:t>ості</w:t>
      </w:r>
      <w:r w:rsidR="00932DAD" w:rsidRPr="00EA0D9E">
        <w:rPr>
          <w:rFonts w:ascii="Times New Roman" w:hAnsi="Times New Roman" w:cs="Times New Roman"/>
          <w:sz w:val="28"/>
          <w:szCs w:val="28"/>
        </w:rPr>
        <w:t xml:space="preserve"> тарифів на теплову енергію безпо</w:t>
      </w:r>
      <w:r w:rsidR="00932DAD">
        <w:rPr>
          <w:rFonts w:ascii="Times New Roman" w:hAnsi="Times New Roman" w:cs="Times New Roman"/>
          <w:sz w:val="28"/>
          <w:szCs w:val="28"/>
        </w:rPr>
        <w:t>середньо залежить від зростання вартості кожної з основних складових тарифу, що призводить</w:t>
      </w:r>
      <w:r w:rsidR="00932DAD" w:rsidRPr="00EA0D9E">
        <w:rPr>
          <w:rFonts w:ascii="Times New Roman" w:hAnsi="Times New Roman" w:cs="Times New Roman"/>
          <w:sz w:val="28"/>
          <w:szCs w:val="28"/>
        </w:rPr>
        <w:t xml:space="preserve"> до зростання</w:t>
      </w:r>
      <w:r w:rsidR="00932DAD" w:rsidRPr="007644CA">
        <w:t xml:space="preserve"> </w:t>
      </w:r>
      <w:r w:rsidR="00932DAD" w:rsidRPr="007644CA">
        <w:rPr>
          <w:rFonts w:ascii="Times New Roman" w:hAnsi="Times New Roman" w:cs="Times New Roman"/>
          <w:sz w:val="28"/>
          <w:szCs w:val="28"/>
        </w:rPr>
        <w:t>собівартості теплової енергії та послуг з централізованого опалення і постачання гарячої води</w:t>
      </w:r>
      <w:r w:rsidR="00932DAD">
        <w:rPr>
          <w:rFonts w:ascii="Times New Roman" w:hAnsi="Times New Roman" w:cs="Times New Roman"/>
          <w:sz w:val="28"/>
          <w:szCs w:val="28"/>
        </w:rPr>
        <w:t>.</w:t>
      </w:r>
      <w:r w:rsidR="00932DAD" w:rsidRPr="00F93B83">
        <w:rPr>
          <w:rFonts w:ascii="Times New Roman" w:hAnsi="Times New Roman" w:cs="Times New Roman"/>
          <w:sz w:val="28"/>
          <w:szCs w:val="28"/>
        </w:rPr>
        <w:t>(рис. 3)</w:t>
      </w:r>
      <w:r w:rsidR="00932DAD" w:rsidRPr="00EA0D9E">
        <w:rPr>
          <w:rFonts w:ascii="Times New Roman" w:hAnsi="Times New Roman" w:cs="Times New Roman"/>
          <w:sz w:val="28"/>
          <w:szCs w:val="28"/>
        </w:rPr>
        <w:t>.</w:t>
      </w:r>
    </w:p>
    <w:p w:rsidR="00E878BC" w:rsidRDefault="00E878BC" w:rsidP="002229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44CA" w:rsidRDefault="002229A4" w:rsidP="007644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ru-RU" w:eastAsia="ru-RU"/>
        </w:rPr>
        <w:lastRenderedPageBreak/>
        <w:drawing>
          <wp:inline distT="0" distB="0" distL="0" distR="0" wp14:anchorId="49FBE403" wp14:editId="5F67317D">
            <wp:extent cx="6120130" cy="3433059"/>
            <wp:effectExtent l="0" t="0" r="13970" b="1524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740"/>
        <w:gridCol w:w="3670"/>
        <w:gridCol w:w="1701"/>
        <w:gridCol w:w="1842"/>
        <w:gridCol w:w="1843"/>
      </w:tblGrid>
      <w:tr w:rsidR="002229A4" w:rsidRPr="002229A4" w:rsidTr="002229A4">
        <w:trPr>
          <w:trHeight w:val="465"/>
        </w:trPr>
        <w:tc>
          <w:tcPr>
            <w:tcW w:w="9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29A4" w:rsidRPr="002229A4" w:rsidRDefault="002229A4" w:rsidP="0022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2229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Рис. 3. Структура </w:t>
            </w:r>
            <w:proofErr w:type="spellStart"/>
            <w:r w:rsidRPr="002229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собівартості</w:t>
            </w:r>
            <w:proofErr w:type="spellEnd"/>
            <w:r w:rsidRPr="002229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229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теплової</w:t>
            </w:r>
            <w:proofErr w:type="spellEnd"/>
            <w:r w:rsidRPr="002229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229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енергії</w:t>
            </w:r>
            <w:proofErr w:type="spellEnd"/>
            <w:r w:rsidRPr="002229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2229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тис</w:t>
            </w:r>
            <w:proofErr w:type="gramStart"/>
            <w:r w:rsidRPr="002229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.г</w:t>
            </w:r>
            <w:proofErr w:type="gramEnd"/>
            <w:r w:rsidRPr="002229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рн</w:t>
            </w:r>
            <w:proofErr w:type="spellEnd"/>
            <w:r w:rsidRPr="002229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.</w:t>
            </w:r>
          </w:p>
        </w:tc>
      </w:tr>
      <w:tr w:rsidR="002229A4" w:rsidRPr="002229A4" w:rsidTr="00932DAD">
        <w:trPr>
          <w:trHeight w:val="16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29A4" w:rsidRPr="002229A4" w:rsidRDefault="002229A4" w:rsidP="00222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29A4" w:rsidRPr="002229A4" w:rsidRDefault="002229A4" w:rsidP="00222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29A4" w:rsidRPr="002229A4" w:rsidRDefault="002229A4" w:rsidP="00222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29A4" w:rsidRPr="002229A4" w:rsidRDefault="002229A4" w:rsidP="00222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29A4" w:rsidRPr="002229A4" w:rsidRDefault="002229A4" w:rsidP="00222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932DAD" w:rsidRPr="002229A4" w:rsidTr="00932DAD">
        <w:trPr>
          <w:trHeight w:val="1241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CC0DA"/>
            <w:vAlign w:val="center"/>
            <w:hideMark/>
          </w:tcPr>
          <w:p w:rsidR="002229A4" w:rsidRPr="002229A4" w:rsidRDefault="002229A4" w:rsidP="0093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229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 з/</w:t>
            </w:r>
            <w:proofErr w:type="gramStart"/>
            <w:r w:rsidRPr="002229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</w:t>
            </w:r>
            <w:proofErr w:type="gramEnd"/>
          </w:p>
        </w:tc>
        <w:tc>
          <w:tcPr>
            <w:tcW w:w="3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C0DA"/>
            <w:vAlign w:val="center"/>
            <w:hideMark/>
          </w:tcPr>
          <w:p w:rsidR="002229A4" w:rsidRPr="002229A4" w:rsidRDefault="002229A4" w:rsidP="0093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2229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Статті</w:t>
            </w:r>
            <w:proofErr w:type="spellEnd"/>
            <w:r w:rsidRPr="002229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229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витрат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CC0DA"/>
            <w:vAlign w:val="center"/>
          </w:tcPr>
          <w:p w:rsidR="002229A4" w:rsidRPr="002229A4" w:rsidRDefault="00932DAD" w:rsidP="0093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Станом на 01.03.2018 р.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C0DA"/>
            <w:vAlign w:val="center"/>
          </w:tcPr>
          <w:p w:rsidR="002229A4" w:rsidRPr="002229A4" w:rsidRDefault="00932DAD" w:rsidP="0093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Станом на 01.07.2018 р.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0DA"/>
            <w:vAlign w:val="center"/>
          </w:tcPr>
          <w:p w:rsidR="002229A4" w:rsidRPr="002229A4" w:rsidRDefault="00932DAD" w:rsidP="0093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Станом на 17.11.2018 р.</w:t>
            </w:r>
          </w:p>
        </w:tc>
      </w:tr>
      <w:tr w:rsidR="002229A4" w:rsidRPr="002229A4" w:rsidTr="00932DAD">
        <w:trPr>
          <w:trHeight w:val="3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229A4" w:rsidRPr="002229A4" w:rsidRDefault="002229A4" w:rsidP="0022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6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29A4" w:rsidRPr="002229A4" w:rsidRDefault="002229A4" w:rsidP="00222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2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Електроенергія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229A4" w:rsidRPr="002229A4" w:rsidRDefault="002229A4" w:rsidP="00222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15948,94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29A4" w:rsidRPr="002229A4" w:rsidRDefault="002229A4" w:rsidP="00222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19207,23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29A4" w:rsidRPr="002229A4" w:rsidRDefault="002229A4" w:rsidP="00222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19349,52</w:t>
            </w:r>
          </w:p>
        </w:tc>
      </w:tr>
      <w:tr w:rsidR="002229A4" w:rsidRPr="002229A4" w:rsidTr="00932DAD">
        <w:trPr>
          <w:trHeight w:val="383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229A4" w:rsidRPr="002229A4" w:rsidRDefault="002229A4" w:rsidP="0022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6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29A4" w:rsidRPr="002229A4" w:rsidRDefault="002229A4" w:rsidP="00222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2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Покупна</w:t>
            </w:r>
            <w:proofErr w:type="spellEnd"/>
            <w:r w:rsidRPr="002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теплова</w:t>
            </w:r>
            <w:proofErr w:type="spellEnd"/>
            <w:r w:rsidRPr="002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енергія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229A4" w:rsidRPr="002229A4" w:rsidRDefault="002229A4" w:rsidP="00222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79543,87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29A4" w:rsidRPr="002229A4" w:rsidRDefault="002229A4" w:rsidP="00222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79543,87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29A4" w:rsidRPr="002229A4" w:rsidRDefault="002229A4" w:rsidP="00222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107718,12</w:t>
            </w:r>
          </w:p>
        </w:tc>
      </w:tr>
      <w:tr w:rsidR="002229A4" w:rsidRPr="002229A4" w:rsidTr="00932DAD">
        <w:trPr>
          <w:trHeight w:val="54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229A4" w:rsidRPr="002229A4" w:rsidRDefault="002229A4" w:rsidP="0022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6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29A4" w:rsidRPr="002229A4" w:rsidRDefault="002229A4" w:rsidP="00222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Вода </w:t>
            </w:r>
            <w:proofErr w:type="gramStart"/>
            <w:r w:rsidRPr="002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для</w:t>
            </w:r>
            <w:proofErr w:type="gramEnd"/>
            <w:r w:rsidRPr="002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2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технолог</w:t>
            </w:r>
            <w:proofErr w:type="gramEnd"/>
            <w:r w:rsidRPr="002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ічних</w:t>
            </w:r>
            <w:proofErr w:type="spellEnd"/>
            <w:r w:rsidRPr="002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потреб та </w:t>
            </w:r>
            <w:proofErr w:type="spellStart"/>
            <w:r w:rsidRPr="002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водовідведення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229A4" w:rsidRPr="002229A4" w:rsidRDefault="002229A4" w:rsidP="00222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1159,96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29A4" w:rsidRPr="002229A4" w:rsidRDefault="002229A4" w:rsidP="00222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1477,7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29A4" w:rsidRPr="002229A4" w:rsidRDefault="002229A4" w:rsidP="00222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1733,59</w:t>
            </w:r>
          </w:p>
        </w:tc>
      </w:tr>
      <w:tr w:rsidR="002229A4" w:rsidRPr="002229A4" w:rsidTr="00932DAD">
        <w:trPr>
          <w:trHeight w:val="31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229A4" w:rsidRPr="002229A4" w:rsidRDefault="002229A4" w:rsidP="0022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6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29A4" w:rsidRPr="002229A4" w:rsidRDefault="002229A4" w:rsidP="00222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2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proofErr w:type="spellEnd"/>
            <w:r w:rsidRPr="002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2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паливо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229A4" w:rsidRPr="002229A4" w:rsidRDefault="002229A4" w:rsidP="00222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91181,48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29A4" w:rsidRPr="002229A4" w:rsidRDefault="002229A4" w:rsidP="00222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91170,73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29A4" w:rsidRPr="002229A4" w:rsidRDefault="002229A4" w:rsidP="00222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91170,73</w:t>
            </w:r>
          </w:p>
        </w:tc>
      </w:tr>
      <w:tr w:rsidR="002229A4" w:rsidRPr="002229A4" w:rsidTr="00932DAD">
        <w:trPr>
          <w:trHeight w:val="373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229A4" w:rsidRPr="002229A4" w:rsidRDefault="002229A4" w:rsidP="0022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6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29A4" w:rsidRPr="002229A4" w:rsidRDefault="002229A4" w:rsidP="00222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2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Виробничі</w:t>
            </w:r>
            <w:proofErr w:type="spellEnd"/>
            <w:r w:rsidRPr="002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2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експлуатаційні</w:t>
            </w:r>
            <w:proofErr w:type="spellEnd"/>
            <w:r w:rsidRPr="002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229A4" w:rsidRPr="002229A4" w:rsidRDefault="002229A4" w:rsidP="00222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11324,71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29A4" w:rsidRPr="002229A4" w:rsidRDefault="002229A4" w:rsidP="00222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11533,62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29A4" w:rsidRPr="002229A4" w:rsidRDefault="002229A4" w:rsidP="00222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11545,57</w:t>
            </w:r>
          </w:p>
        </w:tc>
      </w:tr>
      <w:tr w:rsidR="002229A4" w:rsidRPr="002229A4" w:rsidTr="00932DAD">
        <w:trPr>
          <w:trHeight w:val="523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229A4" w:rsidRPr="002229A4" w:rsidRDefault="002229A4" w:rsidP="0022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29A4" w:rsidRPr="002229A4" w:rsidRDefault="002229A4" w:rsidP="00222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2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Решта</w:t>
            </w:r>
            <w:proofErr w:type="spellEnd"/>
            <w:r w:rsidRPr="002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</w:t>
            </w:r>
            <w:proofErr w:type="spellEnd"/>
            <w:r w:rsidRPr="002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 w:rsidRPr="002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забезпечення</w:t>
            </w:r>
            <w:proofErr w:type="spellEnd"/>
            <w:r w:rsidRPr="002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діяльності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29A4" w:rsidRPr="002229A4" w:rsidRDefault="002229A4" w:rsidP="00222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23024,27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29A4" w:rsidRPr="002229A4" w:rsidRDefault="002229A4" w:rsidP="00222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23051,91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29A4" w:rsidRPr="002229A4" w:rsidRDefault="002229A4" w:rsidP="00222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2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24000,99</w:t>
            </w:r>
          </w:p>
        </w:tc>
      </w:tr>
      <w:tr w:rsidR="002229A4" w:rsidRPr="002229A4" w:rsidTr="00932DAD">
        <w:trPr>
          <w:trHeight w:val="315"/>
        </w:trPr>
        <w:tc>
          <w:tcPr>
            <w:tcW w:w="4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6B8B7"/>
            <w:vAlign w:val="bottom"/>
            <w:hideMark/>
          </w:tcPr>
          <w:p w:rsidR="002229A4" w:rsidRPr="002229A4" w:rsidRDefault="002229A4" w:rsidP="0022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proofErr w:type="spellStart"/>
            <w:r w:rsidRPr="002229A4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Повна</w:t>
            </w:r>
            <w:proofErr w:type="spellEnd"/>
            <w:r w:rsidRPr="002229A4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2229A4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собівартість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6B8B7"/>
            <w:vAlign w:val="bottom"/>
            <w:hideMark/>
          </w:tcPr>
          <w:p w:rsidR="002229A4" w:rsidRPr="002229A4" w:rsidRDefault="002229A4" w:rsidP="00222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2229A4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222183,23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6B8B7"/>
            <w:vAlign w:val="bottom"/>
            <w:hideMark/>
          </w:tcPr>
          <w:p w:rsidR="002229A4" w:rsidRPr="002229A4" w:rsidRDefault="002229A4" w:rsidP="00222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2229A4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225985,06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6B8B7"/>
            <w:vAlign w:val="bottom"/>
            <w:hideMark/>
          </w:tcPr>
          <w:p w:rsidR="002229A4" w:rsidRPr="002229A4" w:rsidRDefault="002229A4" w:rsidP="00222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2229A4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255518,52</w:t>
            </w:r>
          </w:p>
        </w:tc>
      </w:tr>
    </w:tbl>
    <w:p w:rsidR="002229A4" w:rsidRDefault="002229A4" w:rsidP="007644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29A4" w:rsidRPr="007644CA" w:rsidRDefault="002229A4" w:rsidP="002229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D54">
        <w:rPr>
          <w:rFonts w:ascii="Times New Roman" w:hAnsi="Times New Roman" w:cs="Times New Roman"/>
          <w:sz w:val="28"/>
          <w:szCs w:val="28"/>
        </w:rPr>
        <w:t>Попри</w:t>
      </w:r>
      <w:r>
        <w:rPr>
          <w:rFonts w:ascii="Times New Roman" w:hAnsi="Times New Roman" w:cs="Times New Roman"/>
          <w:sz w:val="28"/>
          <w:szCs w:val="28"/>
        </w:rPr>
        <w:t xml:space="preserve"> неоднократне</w:t>
      </w:r>
      <w:r w:rsidRPr="004F6D54">
        <w:rPr>
          <w:rFonts w:ascii="Times New Roman" w:hAnsi="Times New Roman" w:cs="Times New Roman"/>
          <w:sz w:val="28"/>
          <w:szCs w:val="28"/>
        </w:rPr>
        <w:t xml:space="preserve"> прове</w:t>
      </w:r>
      <w:r>
        <w:rPr>
          <w:rFonts w:ascii="Times New Roman" w:hAnsi="Times New Roman" w:cs="Times New Roman"/>
          <w:sz w:val="28"/>
          <w:szCs w:val="28"/>
        </w:rPr>
        <w:t>ден</w:t>
      </w:r>
      <w:r w:rsidR="00932DAD">
        <w:rPr>
          <w:rFonts w:ascii="Times New Roman" w:hAnsi="Times New Roman" w:cs="Times New Roman"/>
          <w:sz w:val="28"/>
          <w:szCs w:val="28"/>
        </w:rPr>
        <w:t>ня</w:t>
      </w:r>
      <w:r>
        <w:rPr>
          <w:rFonts w:ascii="Times New Roman" w:hAnsi="Times New Roman" w:cs="Times New Roman"/>
          <w:sz w:val="28"/>
          <w:szCs w:val="28"/>
        </w:rPr>
        <w:t xml:space="preserve"> коригування тарифів, протягом 2018 року підприємство отри</w:t>
      </w:r>
      <w:r w:rsidRPr="004F6D54">
        <w:rPr>
          <w:rFonts w:ascii="Times New Roman" w:hAnsi="Times New Roman" w:cs="Times New Roman"/>
          <w:sz w:val="28"/>
          <w:szCs w:val="28"/>
        </w:rPr>
        <w:t>ма</w:t>
      </w:r>
      <w:r>
        <w:rPr>
          <w:rFonts w:ascii="Times New Roman" w:hAnsi="Times New Roman" w:cs="Times New Roman"/>
          <w:sz w:val="28"/>
          <w:szCs w:val="28"/>
        </w:rPr>
        <w:t xml:space="preserve">ло </w:t>
      </w:r>
      <w:r w:rsidRPr="004F6D54">
        <w:rPr>
          <w:rFonts w:ascii="Times New Roman" w:hAnsi="Times New Roman" w:cs="Times New Roman"/>
          <w:sz w:val="28"/>
          <w:szCs w:val="28"/>
        </w:rPr>
        <w:t>збитки</w:t>
      </w:r>
      <w:r>
        <w:rPr>
          <w:rFonts w:ascii="Times New Roman" w:hAnsi="Times New Roman" w:cs="Times New Roman"/>
          <w:sz w:val="28"/>
          <w:szCs w:val="28"/>
        </w:rPr>
        <w:t xml:space="preserve"> в розмірі 6 719 тис.</w:t>
      </w:r>
      <w:r w:rsidR="00D770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грн.,</w:t>
      </w:r>
      <w:r w:rsidRPr="004F6D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причинами їх утворення стали </w:t>
      </w:r>
      <w:r w:rsidRPr="004F6D54">
        <w:rPr>
          <w:rFonts w:ascii="Times New Roman" w:hAnsi="Times New Roman" w:cs="Times New Roman"/>
          <w:sz w:val="28"/>
          <w:szCs w:val="28"/>
        </w:rPr>
        <w:t>несвоєчасний перегляд окремих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6D54">
        <w:rPr>
          <w:rFonts w:ascii="Times New Roman" w:hAnsi="Times New Roman" w:cs="Times New Roman"/>
          <w:sz w:val="28"/>
          <w:szCs w:val="28"/>
        </w:rPr>
        <w:t>складових тарифів, не повне відшкодування тарифами фактичної вартості</w:t>
      </w:r>
      <w:r>
        <w:rPr>
          <w:rFonts w:ascii="Times New Roman" w:hAnsi="Times New Roman" w:cs="Times New Roman"/>
          <w:sz w:val="28"/>
          <w:szCs w:val="28"/>
        </w:rPr>
        <w:t xml:space="preserve"> покупної теплової енергії, електроенергії, води та заробітної плати.</w:t>
      </w:r>
      <w:r w:rsidRPr="00EA0D9E">
        <w:t xml:space="preserve"> </w:t>
      </w:r>
    </w:p>
    <w:p w:rsidR="00E878BC" w:rsidRDefault="00E878BC" w:rsidP="001954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78BC" w:rsidRDefault="00E878BC" w:rsidP="001954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78BC" w:rsidRDefault="00E878BC" w:rsidP="001954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2FC3" w:rsidRDefault="00E82FC3" w:rsidP="001954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78BC" w:rsidRPr="00E878BC" w:rsidRDefault="00E878BC" w:rsidP="001954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2DAD" w:rsidRDefault="00932DAD" w:rsidP="00932DA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78BC">
        <w:rPr>
          <w:rFonts w:ascii="Times New Roman" w:hAnsi="Times New Roman" w:cs="Times New Roman"/>
          <w:b/>
          <w:sz w:val="28"/>
          <w:szCs w:val="28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І</w:t>
      </w:r>
      <w:r w:rsidRPr="00E878BC">
        <w:rPr>
          <w:rFonts w:ascii="Times New Roman" w:hAnsi="Times New Roman" w:cs="Times New Roman"/>
          <w:b/>
          <w:sz w:val="28"/>
          <w:szCs w:val="28"/>
        </w:rPr>
        <w:t xml:space="preserve">І. </w:t>
      </w:r>
      <w:r>
        <w:rPr>
          <w:rFonts w:ascii="Times New Roman" w:hAnsi="Times New Roman" w:cs="Times New Roman"/>
          <w:b/>
          <w:sz w:val="28"/>
          <w:szCs w:val="28"/>
        </w:rPr>
        <w:t xml:space="preserve">ПЕРСПЕКТИВИ </w:t>
      </w:r>
    </w:p>
    <w:p w:rsidR="003A5A1E" w:rsidRDefault="003A5A1E" w:rsidP="00932DA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0F84" w:rsidRDefault="003A5A1E" w:rsidP="003A5A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Протягом останн</w:t>
      </w:r>
      <w:r w:rsidR="00DF0F84">
        <w:rPr>
          <w:rFonts w:ascii="Times New Roman" w:hAnsi="Times New Roman" w:cs="Times New Roman"/>
          <w:sz w:val="28"/>
          <w:szCs w:val="28"/>
        </w:rPr>
        <w:t>іх</w:t>
      </w:r>
      <w:r>
        <w:rPr>
          <w:rFonts w:ascii="Times New Roman" w:hAnsi="Times New Roman" w:cs="Times New Roman"/>
          <w:sz w:val="28"/>
          <w:szCs w:val="28"/>
        </w:rPr>
        <w:t xml:space="preserve"> рок</w:t>
      </w:r>
      <w:r w:rsidR="00DF0F84">
        <w:rPr>
          <w:rFonts w:ascii="Times New Roman" w:hAnsi="Times New Roman" w:cs="Times New Roman"/>
          <w:sz w:val="28"/>
          <w:szCs w:val="28"/>
        </w:rPr>
        <w:t>ів спостерігається тенденція щодо регулярного та значного підвищення цін на енергоносії, в зв’язку з чим КП «</w:t>
      </w:r>
      <w:proofErr w:type="spellStart"/>
      <w:r w:rsidR="00DF0F84">
        <w:rPr>
          <w:rFonts w:ascii="Times New Roman" w:hAnsi="Times New Roman" w:cs="Times New Roman"/>
          <w:sz w:val="28"/>
          <w:szCs w:val="28"/>
        </w:rPr>
        <w:t>Теплоенерго</w:t>
      </w:r>
      <w:proofErr w:type="spellEnd"/>
      <w:r w:rsidR="00DF0F84">
        <w:rPr>
          <w:rFonts w:ascii="Times New Roman" w:hAnsi="Times New Roman" w:cs="Times New Roman"/>
          <w:sz w:val="28"/>
          <w:szCs w:val="28"/>
        </w:rPr>
        <w:t>» намагається працювати над впровадженням заходів, спрямованих на підвищення енергоефективності. На 2019 рік підприємство запланувало реалізацію наступних проектів:</w:t>
      </w:r>
    </w:p>
    <w:p w:rsidR="00DF0F84" w:rsidRDefault="00DF0F84" w:rsidP="003A5A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модернізація котельних;</w:t>
      </w:r>
    </w:p>
    <w:p w:rsidR="00C77737" w:rsidRDefault="00DF0F84" w:rsidP="003A5A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співпраця з впливовими корпораціями </w:t>
      </w:r>
      <w:r>
        <w:rPr>
          <w:rFonts w:ascii="Times New Roman" w:hAnsi="Times New Roman" w:cs="Times New Roman"/>
          <w:sz w:val="28"/>
          <w:szCs w:val="28"/>
          <w:lang w:val="en-US"/>
        </w:rPr>
        <w:t>NEFKO</w:t>
      </w:r>
      <w:r w:rsidRPr="00DF0F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 </w:t>
      </w:r>
      <w:r>
        <w:rPr>
          <w:rFonts w:ascii="Times New Roman" w:hAnsi="Times New Roman" w:cs="Times New Roman"/>
          <w:sz w:val="28"/>
          <w:szCs w:val="28"/>
          <w:lang w:val="en-US"/>
        </w:rPr>
        <w:t>DANIDA</w:t>
      </w:r>
      <w:r>
        <w:rPr>
          <w:rFonts w:ascii="Times New Roman" w:hAnsi="Times New Roman" w:cs="Times New Roman"/>
          <w:sz w:val="28"/>
          <w:szCs w:val="28"/>
        </w:rPr>
        <w:t xml:space="preserve"> з питань будівництва нової котельні</w:t>
      </w:r>
      <w:r w:rsidR="00C77737">
        <w:rPr>
          <w:rFonts w:ascii="Times New Roman" w:hAnsi="Times New Roman" w:cs="Times New Roman"/>
          <w:sz w:val="28"/>
          <w:szCs w:val="28"/>
        </w:rPr>
        <w:t xml:space="preserve"> та реновація системи опалення мікрорайону </w:t>
      </w:r>
      <w:proofErr w:type="spellStart"/>
      <w:r w:rsidR="00C77737">
        <w:rPr>
          <w:rFonts w:ascii="Times New Roman" w:hAnsi="Times New Roman" w:cs="Times New Roman"/>
          <w:sz w:val="28"/>
          <w:szCs w:val="28"/>
        </w:rPr>
        <w:t>Раківка</w:t>
      </w:r>
      <w:proofErr w:type="spellEnd"/>
      <w:r w:rsidR="00C77737">
        <w:rPr>
          <w:rFonts w:ascii="Times New Roman" w:hAnsi="Times New Roman" w:cs="Times New Roman"/>
          <w:sz w:val="28"/>
          <w:szCs w:val="28"/>
        </w:rPr>
        <w:t>;</w:t>
      </w:r>
    </w:p>
    <w:p w:rsidR="00C77737" w:rsidRDefault="00C77737" w:rsidP="003A5A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ремонт та заміна аварійних мереж систем опалення та теплопостачання;</w:t>
      </w:r>
    </w:p>
    <w:p w:rsidR="00C77737" w:rsidRDefault="00C77737" w:rsidP="003A5A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продовження обладнання будинків тепловими л</w:t>
      </w:r>
      <w:r w:rsidR="000F330B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чильниками.</w:t>
      </w:r>
    </w:p>
    <w:p w:rsidR="003A5A1E" w:rsidRPr="003A5A1E" w:rsidRDefault="00DF0F84" w:rsidP="003A5A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2CCD" w:rsidRDefault="00AE2CCD" w:rsidP="00E878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E2CCD" w:rsidSect="00180ECA">
      <w:headerReference w:type="default" r:id="rId14"/>
      <w:footerReference w:type="default" r:id="rId15"/>
      <w:pgSz w:w="11906" w:h="16838" w:code="9"/>
      <w:pgMar w:top="1134" w:right="1134" w:bottom="1134" w:left="1134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014" w:rsidRDefault="003D5014" w:rsidP="000531A3">
      <w:pPr>
        <w:spacing w:after="0" w:line="240" w:lineRule="auto"/>
      </w:pPr>
      <w:r>
        <w:separator/>
      </w:r>
    </w:p>
  </w:endnote>
  <w:endnote w:type="continuationSeparator" w:id="0">
    <w:p w:rsidR="003D5014" w:rsidRDefault="003D5014" w:rsidP="00053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1A3" w:rsidRDefault="000531A3">
    <w:pPr>
      <w:pStyle w:val="a7"/>
      <w:rPr>
        <w:color w:val="000000" w:themeColor="text1"/>
        <w:sz w:val="24"/>
        <w:szCs w:val="24"/>
      </w:rPr>
    </w:pPr>
  </w:p>
  <w:p w:rsidR="000531A3" w:rsidRDefault="000531A3">
    <w:pPr>
      <w:pStyle w:val="a7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A423D8" wp14:editId="5DFFEA5C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Надпись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0531A3" w:rsidRDefault="000531A3">
                          <w:pPr>
                            <w:pStyle w:val="a7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instrText>PAGE  \* Arabic  \* MERGEFORMAT</w:instrTex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separate"/>
                          </w:r>
                          <w:r w:rsidR="00E71201" w:rsidRPr="00E71201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40"/>
                              <w:szCs w:val="40"/>
                              <w:lang w:val="ru-RU"/>
                            </w:rPr>
                            <w:t>1</w: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56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S+zTQIAAGcEAAAOAAAAZHJzL2Uyb0RvYy54bWysVL1u2zAQ3gv0HQjutWTHdhLBcuAmcFHA&#10;SAI4RWaaoiwBFI8laUvu1r2vkHfo0KFbX8F5ox4p2THSTkUX6o7f8f6+O02umkqSrTC2BJXSfi+m&#10;RCgOWanWKf30MH93QYl1TGVMghIp3QlLr6Zv30xqnYgBFCAzYQg6UTapdUoL53QSRZYXomK2B1oo&#10;BHMwFXOomnWUGVaj90pGgzgeRzWYTBvgwlq8vWlBOg3+81xwd5fnVjgiU4q5uXCacK78GU0nLFkb&#10;pouSd2mwf8iiYqXCoEdXN8wxsjHlH66qkhuwkLsehyqCPC+5CDVgNf34VTXLgmkRasHmWH1sk/1/&#10;bvnt9t6QMkvpaEyJYhVytH/af9//2P/a/3z++vyNIIBdqrVN0Hip0dw176FBtg/3Fi998U1uKv/F&#10;sgji2O/dsceicYT7R6P44nyMEEfs7HI0jkfeTfTyWhvrPgioiBdSapDD0Fq2XVjXmh5MfDAF81LK&#10;wKNUpE7p+GwUhwdHBJ1L5W1FmIjOja+ozdxLrlk1XZkryHZYpYF2Wqzm8xJTWTDr7pnB8cDsceTd&#10;HR65BAwJnURJAebL3+69PbKGKCU1jltK7ecNM4IS+VEhn5f94dDPZ1CGo/MBKuYUWZ0ialNdA050&#10;H5dL8yB6eycPYm6gesTNmPmoCDHFMXZK3UG8du0S4GZxMZsFI5xIzdxCLTX3rn3DfKMfmkdmdMeG&#10;Qx5v4TCYLHlFSmvrX1o92zikJjDmG9x2FZn2Ck5z4LzbPL8up3qwevk/TH8DAAD//wMAUEsDBBQA&#10;BgAIAAAAIQA4sBLD2QAAAAQBAAAPAAAAZHJzL2Rvd25yZXYueG1sTI/BasMwEETvhf6D2EIvJZHj&#10;gFtcr0MJ+Bzi5AMUa2O7lVbGkmP376v20lwWhhlm3ha7xRpxo9H3jhE26wQEceN0zy3C+VSt3kD4&#10;oFgr45gQvsnDrnx8KFSu3cxHutWhFbGEfa4QuhCGXErfdGSVX7uBOHpXN1oVohxbqUc1x3JrZJok&#10;mbSq57jQqYH2HTVf9WQRXDq/mGO9qfaH+bNKDhOdak+Iz0/LxzuIQEv4D8MvfkSHMjJd3MTaC4MQ&#10;Hwl/N3rp9jUDcUHI0i3IspD38OUPAAAA//8DAFBLAQItABQABgAIAAAAIQC2gziS/gAAAOEBAAAT&#10;AAAAAAAAAAAAAAAAAAAAAABbQ29udGVudF9UeXBlc10ueG1sUEsBAi0AFAAGAAgAAAAhADj9If/W&#10;AAAAlAEAAAsAAAAAAAAAAAAAAAAALwEAAF9yZWxzLy5yZWxzUEsBAi0AFAAGAAgAAAAhAJKVL7NN&#10;AgAAZwQAAA4AAAAAAAAAAAAAAAAALgIAAGRycy9lMm9Eb2MueG1sUEsBAi0AFAAGAAgAAAAhADiw&#10;EsPZAAAABAEAAA8AAAAAAAAAAAAAAAAApwQAAGRycy9kb3ducmV2LnhtbFBLBQYAAAAABAAEAPMA&#10;AACtBQAAAAA=&#10;" filled="f" stroked="f" strokeweight=".5pt">
              <v:textbox style="mso-fit-shape-to-text:t">
                <w:txbxContent>
                  <w:p w:rsidR="000531A3" w:rsidRDefault="000531A3">
                    <w:pPr>
                      <w:pStyle w:val="a7"/>
                      <w:jc w:val="right"/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</w:pP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begin"/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instrText>PAGE  \* Arabic  \* MERGEFORMAT</w:instrTex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separate"/>
                    </w:r>
                    <w:r w:rsidR="00E71201" w:rsidRPr="00E71201">
                      <w:rPr>
                        <w:rFonts w:asciiTheme="majorHAnsi" w:hAnsiTheme="majorHAnsi"/>
                        <w:noProof/>
                        <w:color w:val="000000" w:themeColor="text1"/>
                        <w:sz w:val="40"/>
                        <w:szCs w:val="40"/>
                        <w:lang w:val="ru-RU"/>
                      </w:rPr>
                      <w:t>1</w: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olor w:val="4F81BD" w:themeColor="accent1"/>
        <w:lang w:val="ru-RU" w:eastAsia="ru-RU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3DCEC3E8" wp14:editId="403E781E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Прямоугольник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rect w14:anchorId="44F036E7" id="Прямоугольник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b1yCQIAACQEAAAOAAAAZHJzL2Uyb0RvYy54bWysU81u1DAQviPxDpbvbLJbdkWjzfbQqlwQ&#10;VBQewHXGm0j+k23254bEFYlH4CG4IAp9huwbMbbTFLUVB0QOju2Z+eabzzPLk52SZAPOd0bXdDop&#10;KQHNTdPpdU3fvzt/9oISH5humDQaaroHT09WT58st7aCmWmNbMARBNG+2tqatiHYqig8b0ExPzEW&#10;NBqFcYoFPLp10Ti2RXQli1lZLoqtcY11hoP3eHuWjXSV8IUAHt4I4SEQWVPkFtLq0noV12K1ZNXa&#10;Mdt2fKDB/oGFYp3GpCPUGQuMfHDdAyjVcWe8EWHCjSqMEB2HVANWMy3vVXPZMgupFhTH21Em//9g&#10;+evNhSNdU9M5vpRmCt+o/3r4ePjS/+xvDp/6b/1Nf3343P/qv/c/CDqhYlvrKwy8tBduOHncxvJ3&#10;wqn4x8LILqm8H1WGXSAcL+fHz48WJT4GR9vRYno8j5jFXbB1PrwEo0jc1NThIyZt2eaVD9n11iXm&#10;kjqu2px3UmZrvCkiyUwr7cJeQvZ+CwILRiKzhJpaDU6lIxuGTcI4Bx2m2dSyBvL1vMRv4DlGJNZS&#10;I2BEFph/xB4AYhs/xM4sB/8YCqlTx+Dyb8Ry8BiRMhsdxmDVaeMeA5BY1ZA5+9+KlKWJKl2ZZo/t&#10;4II8NXlgmOatwXnhwaXg6IWtmCofxib2+p/nBHs33KvfAAAA//8DAFBLAwQUAAYACAAAACEAu7xW&#10;c9kAAAADAQAADwAAAGRycy9kb3ducmV2LnhtbEyPwU7DMBBE70j8g7VI3KhNqwQIcaqqiAs3Ah/g&#10;xEuSEq/T2GlSvp6FC1xGGs1q5m2+XVwvTjiGzpOG25UCgVR721Gj4f3t+eYeRIiGrOk9oYYzBtgW&#10;lxe5yayf6RVPZWwEl1DIjIY2xiGTMtQtOhNWfkDi7MOPzkS2YyPtaGYud71cK5VKZzrihdYMuG+x&#10;/iwnp2E+J8eXzUF9qX16OO6qyT0l5Vrr66tl9wgi4hL/juEHn9GhYKbKT2SD6DXwI/FXOXvYpGwr&#10;DckdyCKX/9mLbwAAAP//AwBQSwECLQAUAAYACAAAACEAtoM4kv4AAADhAQAAEwAAAAAAAAAAAAAA&#10;AAAAAAAAW0NvbnRlbnRfVHlwZXNdLnhtbFBLAQItABQABgAIAAAAIQA4/SH/1gAAAJQBAAALAAAA&#10;AAAAAAAAAAAAAC8BAABfcmVscy8ucmVsc1BLAQItABQABgAIAAAAIQD1sb1yCQIAACQEAAAOAAAA&#10;AAAAAAAAAAAAAC4CAABkcnMvZTJvRG9jLnhtbFBLAQItABQABgAIAAAAIQC7vFZz2QAAAAMBAAAP&#10;AAAAAAAAAAAAAAAAAGMEAABkcnMvZG93bnJldi54bWxQSwUGAAAAAAQABADzAAAAaQUAAAAA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014" w:rsidRDefault="003D5014" w:rsidP="000531A3">
      <w:pPr>
        <w:spacing w:after="0" w:line="240" w:lineRule="auto"/>
      </w:pPr>
      <w:r>
        <w:separator/>
      </w:r>
    </w:p>
  </w:footnote>
  <w:footnote w:type="continuationSeparator" w:id="0">
    <w:p w:rsidR="003D5014" w:rsidRDefault="003D5014" w:rsidP="00053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1A3" w:rsidRDefault="000531A3" w:rsidP="000531A3">
    <w:pPr>
      <w:pStyle w:val="a5"/>
      <w:pBdr>
        <w:bottom w:val="thickThinSmallGap" w:sz="24" w:space="1" w:color="622423" w:themeColor="accent2" w:themeShade="7F"/>
      </w:pBdr>
      <w:jc w:val="center"/>
    </w:pPr>
    <w:r>
      <w:rPr>
        <w:rFonts w:asciiTheme="majorHAnsi" w:eastAsiaTheme="majorEastAsia" w:hAnsiTheme="majorHAnsi" w:cstheme="majorBidi"/>
        <w:sz w:val="32"/>
        <w:szCs w:val="32"/>
      </w:rPr>
      <w:t>Річний звіт КП «</w:t>
    </w:r>
    <w:proofErr w:type="spellStart"/>
    <w:r>
      <w:rPr>
        <w:rFonts w:asciiTheme="majorHAnsi" w:eastAsiaTheme="majorEastAsia" w:hAnsiTheme="majorHAnsi" w:cstheme="majorBidi"/>
        <w:sz w:val="32"/>
        <w:szCs w:val="32"/>
      </w:rPr>
      <w:t>Теплоенерго</w:t>
    </w:r>
    <w:proofErr w:type="spellEnd"/>
    <w:r>
      <w:rPr>
        <w:rFonts w:asciiTheme="majorHAnsi" w:eastAsiaTheme="majorEastAsia" w:hAnsiTheme="majorHAnsi" w:cstheme="majorBidi"/>
        <w:sz w:val="32"/>
        <w:szCs w:val="32"/>
      </w:rPr>
      <w:t>» 2018 р.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E0BCA"/>
    <w:multiLevelType w:val="hybridMultilevel"/>
    <w:tmpl w:val="C8CCCB10"/>
    <w:lvl w:ilvl="0" w:tplc="BCC68B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011"/>
    <w:rsid w:val="000324A5"/>
    <w:rsid w:val="000531A3"/>
    <w:rsid w:val="00067E58"/>
    <w:rsid w:val="000937D4"/>
    <w:rsid w:val="000E2A7F"/>
    <w:rsid w:val="000F330B"/>
    <w:rsid w:val="0011771E"/>
    <w:rsid w:val="001200AD"/>
    <w:rsid w:val="00150468"/>
    <w:rsid w:val="00157987"/>
    <w:rsid w:val="001628A6"/>
    <w:rsid w:val="00164FBE"/>
    <w:rsid w:val="00180ECA"/>
    <w:rsid w:val="00195413"/>
    <w:rsid w:val="001C1EB6"/>
    <w:rsid w:val="001C24F7"/>
    <w:rsid w:val="001F733D"/>
    <w:rsid w:val="002229A4"/>
    <w:rsid w:val="00282F69"/>
    <w:rsid w:val="002839B1"/>
    <w:rsid w:val="00284956"/>
    <w:rsid w:val="00295DC3"/>
    <w:rsid w:val="002C6D73"/>
    <w:rsid w:val="002E4E98"/>
    <w:rsid w:val="002F662F"/>
    <w:rsid w:val="0031643D"/>
    <w:rsid w:val="00395E60"/>
    <w:rsid w:val="003A5A1E"/>
    <w:rsid w:val="003C02A4"/>
    <w:rsid w:val="003C2914"/>
    <w:rsid w:val="003D5014"/>
    <w:rsid w:val="003F6B4F"/>
    <w:rsid w:val="00402F5B"/>
    <w:rsid w:val="00435DD0"/>
    <w:rsid w:val="00492D51"/>
    <w:rsid w:val="00493BC7"/>
    <w:rsid w:val="004B7254"/>
    <w:rsid w:val="004E0DE5"/>
    <w:rsid w:val="004F158D"/>
    <w:rsid w:val="004F3D3D"/>
    <w:rsid w:val="004F6D54"/>
    <w:rsid w:val="005523AE"/>
    <w:rsid w:val="005540F8"/>
    <w:rsid w:val="005B7711"/>
    <w:rsid w:val="005C4DFC"/>
    <w:rsid w:val="006029D2"/>
    <w:rsid w:val="006103A1"/>
    <w:rsid w:val="00620366"/>
    <w:rsid w:val="00636F2C"/>
    <w:rsid w:val="00655011"/>
    <w:rsid w:val="0068038A"/>
    <w:rsid w:val="006C618F"/>
    <w:rsid w:val="006F30BC"/>
    <w:rsid w:val="007338E1"/>
    <w:rsid w:val="00752AD9"/>
    <w:rsid w:val="007644CA"/>
    <w:rsid w:val="00776161"/>
    <w:rsid w:val="0079156D"/>
    <w:rsid w:val="007A068D"/>
    <w:rsid w:val="007A2D92"/>
    <w:rsid w:val="007B066B"/>
    <w:rsid w:val="007B417B"/>
    <w:rsid w:val="007F37CA"/>
    <w:rsid w:val="007F3C97"/>
    <w:rsid w:val="008465B3"/>
    <w:rsid w:val="00877FD5"/>
    <w:rsid w:val="008807AD"/>
    <w:rsid w:val="00897594"/>
    <w:rsid w:val="008977A5"/>
    <w:rsid w:val="00913EF6"/>
    <w:rsid w:val="00932DAD"/>
    <w:rsid w:val="00935903"/>
    <w:rsid w:val="00964675"/>
    <w:rsid w:val="00973553"/>
    <w:rsid w:val="00980FFB"/>
    <w:rsid w:val="00A0713D"/>
    <w:rsid w:val="00A14C8D"/>
    <w:rsid w:val="00A810AD"/>
    <w:rsid w:val="00AD5D36"/>
    <w:rsid w:val="00AE2CCD"/>
    <w:rsid w:val="00AF1EDB"/>
    <w:rsid w:val="00AF63EC"/>
    <w:rsid w:val="00B14EB1"/>
    <w:rsid w:val="00B4135B"/>
    <w:rsid w:val="00B6335B"/>
    <w:rsid w:val="00B85FB4"/>
    <w:rsid w:val="00B92484"/>
    <w:rsid w:val="00B96FD9"/>
    <w:rsid w:val="00BA779D"/>
    <w:rsid w:val="00BB226D"/>
    <w:rsid w:val="00BD7B10"/>
    <w:rsid w:val="00C77737"/>
    <w:rsid w:val="00CA36A0"/>
    <w:rsid w:val="00CA5FCB"/>
    <w:rsid w:val="00CB575D"/>
    <w:rsid w:val="00CD177E"/>
    <w:rsid w:val="00CE5D75"/>
    <w:rsid w:val="00CE6B61"/>
    <w:rsid w:val="00CE78F0"/>
    <w:rsid w:val="00D11833"/>
    <w:rsid w:val="00D770BC"/>
    <w:rsid w:val="00D9514D"/>
    <w:rsid w:val="00D959D9"/>
    <w:rsid w:val="00DE4DDA"/>
    <w:rsid w:val="00DF0F84"/>
    <w:rsid w:val="00E0518D"/>
    <w:rsid w:val="00E276F7"/>
    <w:rsid w:val="00E4217A"/>
    <w:rsid w:val="00E63C90"/>
    <w:rsid w:val="00E669D6"/>
    <w:rsid w:val="00E71201"/>
    <w:rsid w:val="00E74D03"/>
    <w:rsid w:val="00E82FC3"/>
    <w:rsid w:val="00E878BC"/>
    <w:rsid w:val="00EA0D9E"/>
    <w:rsid w:val="00EB1EAD"/>
    <w:rsid w:val="00EB79F0"/>
    <w:rsid w:val="00F528D9"/>
    <w:rsid w:val="00F60B18"/>
    <w:rsid w:val="00F71E29"/>
    <w:rsid w:val="00F93B83"/>
    <w:rsid w:val="00FB1AA4"/>
    <w:rsid w:val="00FD22E5"/>
    <w:rsid w:val="00FE4577"/>
    <w:rsid w:val="00FE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3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31A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53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531A3"/>
  </w:style>
  <w:style w:type="paragraph" w:styleId="a7">
    <w:name w:val="footer"/>
    <w:basedOn w:val="a"/>
    <w:link w:val="a8"/>
    <w:uiPriority w:val="99"/>
    <w:unhideWhenUsed/>
    <w:rsid w:val="00053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531A3"/>
  </w:style>
  <w:style w:type="paragraph" w:customStyle="1" w:styleId="A0E349F008B644AAB6A282E0D042D17E">
    <w:name w:val="A0E349F008B644AAB6A282E0D042D17E"/>
    <w:rsid w:val="000531A3"/>
    <w:rPr>
      <w:rFonts w:eastAsiaTheme="minorEastAsia"/>
      <w:lang w:eastAsia="uk-UA"/>
    </w:rPr>
  </w:style>
  <w:style w:type="character" w:styleId="a9">
    <w:name w:val="annotation reference"/>
    <w:basedOn w:val="a0"/>
    <w:uiPriority w:val="99"/>
    <w:semiHidden/>
    <w:unhideWhenUsed/>
    <w:rsid w:val="00E669D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669D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669D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669D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669D6"/>
    <w:rPr>
      <w:b/>
      <w:bCs/>
      <w:sz w:val="20"/>
      <w:szCs w:val="20"/>
    </w:rPr>
  </w:style>
  <w:style w:type="paragraph" w:styleId="ae">
    <w:name w:val="List Paragraph"/>
    <w:basedOn w:val="a"/>
    <w:uiPriority w:val="34"/>
    <w:qFormat/>
    <w:rsid w:val="000324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3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31A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53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531A3"/>
  </w:style>
  <w:style w:type="paragraph" w:styleId="a7">
    <w:name w:val="footer"/>
    <w:basedOn w:val="a"/>
    <w:link w:val="a8"/>
    <w:uiPriority w:val="99"/>
    <w:unhideWhenUsed/>
    <w:rsid w:val="00053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531A3"/>
  </w:style>
  <w:style w:type="paragraph" w:customStyle="1" w:styleId="A0E349F008B644AAB6A282E0D042D17E">
    <w:name w:val="A0E349F008B644AAB6A282E0D042D17E"/>
    <w:rsid w:val="000531A3"/>
    <w:rPr>
      <w:rFonts w:eastAsiaTheme="minorEastAsia"/>
      <w:lang w:eastAsia="uk-UA"/>
    </w:rPr>
  </w:style>
  <w:style w:type="character" w:styleId="a9">
    <w:name w:val="annotation reference"/>
    <w:basedOn w:val="a0"/>
    <w:uiPriority w:val="99"/>
    <w:semiHidden/>
    <w:unhideWhenUsed/>
    <w:rsid w:val="00E669D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669D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669D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669D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669D6"/>
    <w:rPr>
      <w:b/>
      <w:bCs/>
      <w:sz w:val="20"/>
      <w:szCs w:val="20"/>
    </w:rPr>
  </w:style>
  <w:style w:type="paragraph" w:styleId="ae">
    <w:name w:val="List Paragraph"/>
    <w:basedOn w:val="a"/>
    <w:uiPriority w:val="34"/>
    <w:qFormat/>
    <w:rsid w:val="000324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3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Tarifcomp1\&#1086;&#1073;&#1097;&#1072;&#1103;%20&#1086;&#1090;&#1076;&#1077;&#1083;&#1072;\&#1056;&#1030;&#1063;&#1053;&#1048;&#1049;%20&#1079;&#1074;&#1110;&#1090;%20&#1044;&#1048;&#1056;&#1045;&#1050;&#1058;&#1054;&#1056;&#1040;\&#1087;&#1088;&#1077;&#107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aseline="0">
                <a:latin typeface="Times New Roman" pitchFamily="18" charset="0"/>
                <a:cs typeface="Times New Roman" pitchFamily="18" charset="0"/>
              </a:defRPr>
            </a:pPr>
            <a:r>
              <a:rPr lang="uk-UA" sz="1400" baseline="0">
                <a:latin typeface="Times New Roman" pitchFamily="18" charset="0"/>
                <a:cs typeface="Times New Roman" pitchFamily="18" charset="0"/>
              </a:rPr>
              <a:t>Рис.1. Розподіл установленої потужності за типами котлоагрегатів</a:t>
            </a:r>
          </a:p>
        </c:rich>
      </c:tx>
      <c:layout>
        <c:manualLayout>
          <c:xMode val="edge"/>
          <c:yMode val="edge"/>
          <c:x val="0.17397217999046949"/>
          <c:y val="1.4571948998178506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3277016134404518"/>
          <c:y val="0.23934460707766073"/>
          <c:w val="0.52092343152537413"/>
          <c:h val="0.67182912194558697"/>
        </c:manualLayout>
      </c:layout>
      <c:doughnutChart>
        <c:varyColors val="1"/>
        <c:ser>
          <c:idx val="0"/>
          <c:order val="0"/>
          <c:explosion val="1"/>
          <c:dLbls>
            <c:dLbl>
              <c:idx val="0"/>
              <c:layout>
                <c:manualLayout>
                  <c:x val="-0.13367174280879862"/>
                  <c:y val="-0.12220418792750787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6681-4F4A-9D1B-C04F98D8A9D3}"/>
                </c:ext>
              </c:extLst>
            </c:dLbl>
            <c:dLbl>
              <c:idx val="1"/>
              <c:layout>
                <c:manualLayout>
                  <c:x val="5.5837563451776651E-2"/>
                  <c:y val="-0.111292943233554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6681-4F4A-9D1B-C04F98D8A9D3}"/>
                </c:ext>
              </c:extLst>
            </c:dLbl>
            <c:dLbl>
              <c:idx val="2"/>
              <c:layout>
                <c:manualLayout>
                  <c:x val="0.30615638781192961"/>
                  <c:y val="-8.9328352156509111E-2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6681-4F4A-9D1B-C04F98D8A9D3}"/>
                </c:ext>
              </c:extLst>
            </c:dLbl>
            <c:dLbl>
              <c:idx val="3"/>
              <c:layout>
                <c:manualLayout>
                  <c:x val="0.29747138841147397"/>
                  <c:y val="-1.0911072866034707E-2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6681-4F4A-9D1B-C04F98D8A9D3}"/>
                </c:ext>
              </c:extLst>
            </c:dLbl>
            <c:dLbl>
              <c:idx val="4"/>
              <c:layout>
                <c:manualLayout>
                  <c:x val="0.29610829103214892"/>
                  <c:y val="7.8559724635449885E-2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6681-4F4A-9D1B-C04F98D8A9D3}"/>
                </c:ext>
              </c:extLst>
            </c:dLbl>
            <c:dLbl>
              <c:idx val="5"/>
              <c:layout>
                <c:manualLayout>
                  <c:x val="0.26395939086294418"/>
                  <c:y val="0.13966173268524423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6681-4F4A-9D1B-C04F98D8A9D3}"/>
                </c:ext>
              </c:extLst>
            </c:dLbl>
            <c:dLbl>
              <c:idx val="6"/>
              <c:layout>
                <c:manualLayout>
                  <c:x val="0.22295335544985811"/>
                  <c:y val="0.19204192738689599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6681-4F4A-9D1B-C04F98D8A9D3}"/>
                </c:ext>
              </c:extLst>
            </c:dLbl>
            <c:dLbl>
              <c:idx val="7"/>
              <c:layout>
                <c:manualLayout>
                  <c:x val="0.17505162742982"/>
                  <c:y val="0.14837272087448039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6681-4F4A-9D1B-C04F98D8A9D3}"/>
                </c:ext>
              </c:extLst>
            </c:dLbl>
            <c:dLbl>
              <c:idx val="8"/>
              <c:layout>
                <c:manualLayout>
                  <c:x val="0.20606752201660072"/>
                  <c:y val="0.11982574587063145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6681-4F4A-9D1B-C04F98D8A9D3}"/>
                </c:ext>
              </c:extLst>
            </c:dLbl>
            <c:dLbl>
              <c:idx val="9"/>
              <c:layout>
                <c:manualLayout>
                  <c:x val="-0.22931958378299158"/>
                  <c:y val="3.9215770503881933E-2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6681-4F4A-9D1B-C04F98D8A9D3}"/>
                </c:ext>
              </c:extLst>
            </c:dLbl>
            <c:dLbl>
              <c:idx val="10"/>
              <c:layout>
                <c:manualLayout>
                  <c:x val="-0.18062725661830342"/>
                  <c:y val="-1.3068372390964875E-2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A-6681-4F4A-9D1B-C04F98D8A9D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kern="1500" spc="-50" normalizeH="0" baseline="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1"/>
            <c:showVal val="0"/>
            <c:showCatName val="1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Лист1!$C$13:$C$23</c:f>
              <c:strCache>
                <c:ptCount val="11"/>
                <c:pt idx="0">
                  <c:v>Інші 16од., по ≤ 0,3 Гкал/год</c:v>
                </c:pt>
                <c:pt idx="1">
                  <c:v>Vitoplex 200  2од., по 0,23 Гкал/год</c:v>
                </c:pt>
                <c:pt idx="2">
                  <c:v>Vitoplex 100 PV1 2од., по 0,43 Гкал/год </c:v>
                </c:pt>
                <c:pt idx="3">
                  <c:v>SuperRAC 520 2од., по 0,46 Гкал/год </c:v>
                </c:pt>
                <c:pt idx="4">
                  <c:v>Vitoplex 200  SX2A 2од., по 0,946 Гкал/год</c:v>
                </c:pt>
                <c:pt idx="5">
                  <c:v>Факел 1 Г 3од., по 0,9 Гкал/год</c:v>
                </c:pt>
                <c:pt idx="6">
                  <c:v>ВК - 21 2од., по 1,72 Гкал/год</c:v>
                </c:pt>
                <c:pt idx="7">
                  <c:v>КВ-Г-5,2-115СН "Грач" 3 од., по 4,5 Гкал/год</c:v>
                </c:pt>
                <c:pt idx="8">
                  <c:v>КВ-ГМ-5,8 3од., по 5,0 Гкал/год</c:v>
                </c:pt>
                <c:pt idx="9">
                  <c:v>КВГ-7,56-150 3 од., по 6,5 Гкал/год </c:v>
                </c:pt>
                <c:pt idx="10">
                  <c:v>VITOMAX 200-LХ  2од.., по 11,9 Гкал/год </c:v>
                </c:pt>
              </c:strCache>
            </c:strRef>
          </c:cat>
          <c:val>
            <c:numRef>
              <c:f>Лист1!$D$13:$D$23</c:f>
              <c:numCache>
                <c:formatCode>General</c:formatCode>
                <c:ptCount val="11"/>
                <c:pt idx="0">
                  <c:v>1.95</c:v>
                </c:pt>
                <c:pt idx="1">
                  <c:v>0.46</c:v>
                </c:pt>
                <c:pt idx="2">
                  <c:v>0.86</c:v>
                </c:pt>
                <c:pt idx="3">
                  <c:v>0.92</c:v>
                </c:pt>
                <c:pt idx="4">
                  <c:v>1.8919999999999999</c:v>
                </c:pt>
                <c:pt idx="5">
                  <c:v>2.7</c:v>
                </c:pt>
                <c:pt idx="6">
                  <c:v>3.44</c:v>
                </c:pt>
                <c:pt idx="7">
                  <c:v>13.5</c:v>
                </c:pt>
                <c:pt idx="8">
                  <c:v>15</c:v>
                </c:pt>
                <c:pt idx="9">
                  <c:v>19.5</c:v>
                </c:pt>
                <c:pt idx="10">
                  <c:v>23.8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6681-4F4A-9D1B-C04F98D8A9D3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  <c:holeSize val="50"/>
      </c:doughnutChart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uk-UA" sz="1400">
                <a:latin typeface="Times New Roman" pitchFamily="18" charset="0"/>
                <a:cs typeface="Times New Roman" pitchFamily="18" charset="0"/>
              </a:rPr>
              <a:t>Рис.</a:t>
            </a:r>
            <a:r>
              <a:rPr lang="uk-UA" sz="1400" baseline="0">
                <a:latin typeface="Times New Roman" pitchFamily="18" charset="0"/>
                <a:cs typeface="Times New Roman" pitchFamily="18" charset="0"/>
              </a:rPr>
              <a:t> 2. Структура реалізації теплової енергії у розрізі категорій споживачів, тис. Гкал/рік</a:t>
            </a:r>
            <a:endParaRPr lang="uk-UA" sz="14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8.3682236055571582E-2"/>
          <c:y val="2.2503512851514026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8974694981969337"/>
          <c:y val="0.21476056338028168"/>
          <c:w val="0.41724424154388878"/>
          <c:h val="0.75519248826291074"/>
        </c:manualLayout>
      </c:layout>
      <c:doughnutChart>
        <c:varyColors val="1"/>
        <c:ser>
          <c:idx val="0"/>
          <c:order val="0"/>
          <c:tx>
            <c:strRef>
              <c:f>Лист2!$D$23</c:f>
              <c:strCache>
                <c:ptCount val="1"/>
                <c:pt idx="0">
                  <c:v>О'єм реалізації Гкал</c:v>
                </c:pt>
              </c:strCache>
            </c:strRef>
          </c:tx>
          <c:cat>
            <c:strRef>
              <c:f>Лист2!$C$24:$C$26</c:f>
              <c:strCache>
                <c:ptCount val="3"/>
                <c:pt idx="0">
                  <c:v>Інші споживачі </c:v>
                </c:pt>
                <c:pt idx="1">
                  <c:v>Бюджетні </c:v>
                </c:pt>
                <c:pt idx="2">
                  <c:v>Населення</c:v>
                </c:pt>
              </c:strCache>
            </c:strRef>
          </c:cat>
          <c:val>
            <c:numRef>
              <c:f>Лист2!$D$24:$D$26</c:f>
              <c:numCache>
                <c:formatCode>General</c:formatCode>
                <c:ptCount val="3"/>
                <c:pt idx="0">
                  <c:v>2.7189999999999999</c:v>
                </c:pt>
                <c:pt idx="1">
                  <c:v>12.833</c:v>
                </c:pt>
                <c:pt idx="2">
                  <c:v>97.686000000000007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F0E-489C-A7C7-DF5E8F0BF5D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67246870190992847"/>
          <c:y val="0.29910909023695981"/>
          <c:w val="0.23652122800357581"/>
          <c:h val="0.37999748622971424"/>
        </c:manualLayout>
      </c:layout>
      <c:overlay val="0"/>
      <c:txPr>
        <a:bodyPr/>
        <a:lstStyle/>
        <a:p>
          <a:pPr>
            <a:defRPr sz="1100" baseline="0">
              <a:latin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3161204208448302"/>
          <c:y val="4.6724763219722812E-2"/>
          <c:w val="0.48460013011194114"/>
          <c:h val="0.8097521052784301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'Лист2 (2)'!$C$5</c:f>
              <c:strCache>
                <c:ptCount val="1"/>
                <c:pt idx="0">
                  <c:v>Електроенергія</c:v>
                </c:pt>
              </c:strCache>
            </c:strRef>
          </c:tx>
          <c:invertIfNegative val="0"/>
          <c:cat>
            <c:strRef>
              <c:f>'Лист2 (2)'!$D$4:$F$4</c:f>
              <c:strCache>
                <c:ptCount val="3"/>
                <c:pt idx="0">
                  <c:v>Тарифи станом на 01.03.2018 р.</c:v>
                </c:pt>
                <c:pt idx="1">
                  <c:v>Тарифи станом на 01.07.2018 р.</c:v>
                </c:pt>
                <c:pt idx="2">
                  <c:v>Тарифи станом на 17.11.2018 р.</c:v>
                </c:pt>
              </c:strCache>
            </c:strRef>
          </c:cat>
          <c:val>
            <c:numRef>
              <c:f>'Лист2 (2)'!$D$5:$F$5</c:f>
              <c:numCache>
                <c:formatCode>General</c:formatCode>
                <c:ptCount val="3"/>
                <c:pt idx="0">
                  <c:v>15948.94</c:v>
                </c:pt>
                <c:pt idx="1">
                  <c:v>19207.23</c:v>
                </c:pt>
                <c:pt idx="2">
                  <c:v>19349.52</c:v>
                </c:pt>
              </c:numCache>
            </c:numRef>
          </c:val>
        </c:ser>
        <c:ser>
          <c:idx val="1"/>
          <c:order val="1"/>
          <c:tx>
            <c:strRef>
              <c:f>'Лист2 (2)'!$C$6</c:f>
              <c:strCache>
                <c:ptCount val="1"/>
                <c:pt idx="0">
                  <c:v>Покупна теплова енергія</c:v>
                </c:pt>
              </c:strCache>
            </c:strRef>
          </c:tx>
          <c:invertIfNegative val="0"/>
          <c:cat>
            <c:strRef>
              <c:f>'Лист2 (2)'!$D$4:$F$4</c:f>
              <c:strCache>
                <c:ptCount val="3"/>
                <c:pt idx="0">
                  <c:v>Тарифи станом на 01.03.2018 р.</c:v>
                </c:pt>
                <c:pt idx="1">
                  <c:v>Тарифи станом на 01.07.2018 р.</c:v>
                </c:pt>
                <c:pt idx="2">
                  <c:v>Тарифи станом на 17.11.2018 р.</c:v>
                </c:pt>
              </c:strCache>
            </c:strRef>
          </c:cat>
          <c:val>
            <c:numRef>
              <c:f>'Лист2 (2)'!$D$6:$F$6</c:f>
              <c:numCache>
                <c:formatCode>General</c:formatCode>
                <c:ptCount val="3"/>
                <c:pt idx="0">
                  <c:v>79543.87</c:v>
                </c:pt>
                <c:pt idx="1">
                  <c:v>79543.87</c:v>
                </c:pt>
                <c:pt idx="2">
                  <c:v>107718.12</c:v>
                </c:pt>
              </c:numCache>
            </c:numRef>
          </c:val>
        </c:ser>
        <c:ser>
          <c:idx val="2"/>
          <c:order val="2"/>
          <c:tx>
            <c:strRef>
              <c:f>'Лист2 (2)'!$C$7</c:f>
              <c:strCache>
                <c:ptCount val="1"/>
                <c:pt idx="0">
                  <c:v>Вода для технологічних потреб та водовідведення</c:v>
                </c:pt>
              </c:strCache>
            </c:strRef>
          </c:tx>
          <c:invertIfNegative val="0"/>
          <c:cat>
            <c:strRef>
              <c:f>'Лист2 (2)'!$D$4:$F$4</c:f>
              <c:strCache>
                <c:ptCount val="3"/>
                <c:pt idx="0">
                  <c:v>Тарифи станом на 01.03.2018 р.</c:v>
                </c:pt>
                <c:pt idx="1">
                  <c:v>Тарифи станом на 01.07.2018 р.</c:v>
                </c:pt>
                <c:pt idx="2">
                  <c:v>Тарифи станом на 17.11.2018 р.</c:v>
                </c:pt>
              </c:strCache>
            </c:strRef>
          </c:cat>
          <c:val>
            <c:numRef>
              <c:f>'Лист2 (2)'!$D$7:$F$7</c:f>
              <c:numCache>
                <c:formatCode>General</c:formatCode>
                <c:ptCount val="3"/>
                <c:pt idx="0">
                  <c:v>1159.96</c:v>
                </c:pt>
                <c:pt idx="1">
                  <c:v>1477.7</c:v>
                </c:pt>
                <c:pt idx="2">
                  <c:v>1733.59</c:v>
                </c:pt>
              </c:numCache>
            </c:numRef>
          </c:val>
        </c:ser>
        <c:ser>
          <c:idx val="3"/>
          <c:order val="3"/>
          <c:tx>
            <c:strRef>
              <c:f>'Лист2 (2)'!#ССЫЛКА!</c:f>
              <c:strCache>
                <c:ptCount val="1"/>
                <c:pt idx="0">
                  <c:v>#REF!</c:v>
                </c:pt>
              </c:strCache>
            </c:strRef>
          </c:tx>
          <c:invertIfNegative val="0"/>
          <c:cat>
            <c:strRef>
              <c:f>'Лист2 (2)'!$D$4:$F$4</c:f>
              <c:strCache>
                <c:ptCount val="3"/>
                <c:pt idx="0">
                  <c:v>Тарифи станом на 01.03.2018 р.</c:v>
                </c:pt>
                <c:pt idx="1">
                  <c:v>Тарифи станом на 01.07.2018 р.</c:v>
                </c:pt>
                <c:pt idx="2">
                  <c:v>Тарифи станом на 17.11.2018 р.</c:v>
                </c:pt>
              </c:strCache>
            </c:strRef>
          </c:cat>
          <c:val>
            <c:numRef>
              <c:f>'Лист2 (2)'!#ССЫЛКА!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4"/>
          <c:order val="4"/>
          <c:tx>
            <c:strRef>
              <c:f>'Лист2 (2)'!$C$8</c:f>
              <c:strCache>
                <c:ptCount val="1"/>
                <c:pt idx="0">
                  <c:v>Витрати на паливо</c:v>
                </c:pt>
              </c:strCache>
            </c:strRef>
          </c:tx>
          <c:invertIfNegative val="0"/>
          <c:cat>
            <c:strRef>
              <c:f>'Лист2 (2)'!$D$4:$F$4</c:f>
              <c:strCache>
                <c:ptCount val="3"/>
                <c:pt idx="0">
                  <c:v>Тарифи станом на 01.03.2018 р.</c:v>
                </c:pt>
                <c:pt idx="1">
                  <c:v>Тарифи станом на 01.07.2018 р.</c:v>
                </c:pt>
                <c:pt idx="2">
                  <c:v>Тарифи станом на 17.11.2018 р.</c:v>
                </c:pt>
              </c:strCache>
            </c:strRef>
          </c:cat>
          <c:val>
            <c:numRef>
              <c:f>'Лист2 (2)'!$D$8:$F$8</c:f>
              <c:numCache>
                <c:formatCode>General</c:formatCode>
                <c:ptCount val="3"/>
                <c:pt idx="0">
                  <c:v>91181.48</c:v>
                </c:pt>
                <c:pt idx="1">
                  <c:v>91170.73</c:v>
                </c:pt>
                <c:pt idx="2">
                  <c:v>91170.73</c:v>
                </c:pt>
              </c:numCache>
            </c:numRef>
          </c:val>
        </c:ser>
        <c:ser>
          <c:idx val="5"/>
          <c:order val="5"/>
          <c:tx>
            <c:strRef>
              <c:f>'Лист2 (2)'!$C$9</c:f>
              <c:strCache>
                <c:ptCount val="1"/>
                <c:pt idx="0">
                  <c:v>Виробничі та експлуатаційні витрати</c:v>
                </c:pt>
              </c:strCache>
            </c:strRef>
          </c:tx>
          <c:invertIfNegative val="0"/>
          <c:cat>
            <c:strRef>
              <c:f>'Лист2 (2)'!$D$4:$F$4</c:f>
              <c:strCache>
                <c:ptCount val="3"/>
                <c:pt idx="0">
                  <c:v>Тарифи станом на 01.03.2018 р.</c:v>
                </c:pt>
                <c:pt idx="1">
                  <c:v>Тарифи станом на 01.07.2018 р.</c:v>
                </c:pt>
                <c:pt idx="2">
                  <c:v>Тарифи станом на 17.11.2018 р.</c:v>
                </c:pt>
              </c:strCache>
            </c:strRef>
          </c:cat>
          <c:val>
            <c:numRef>
              <c:f>'Лист2 (2)'!$D$9:$F$9</c:f>
              <c:numCache>
                <c:formatCode>General</c:formatCode>
                <c:ptCount val="3"/>
                <c:pt idx="0">
                  <c:v>11324.71</c:v>
                </c:pt>
                <c:pt idx="1">
                  <c:v>11533.62</c:v>
                </c:pt>
                <c:pt idx="2">
                  <c:v>11545.57</c:v>
                </c:pt>
              </c:numCache>
            </c:numRef>
          </c:val>
        </c:ser>
        <c:ser>
          <c:idx val="6"/>
          <c:order val="6"/>
          <c:tx>
            <c:strRef>
              <c:f>'Лист2 (2)'!$C$10</c:f>
              <c:strCache>
                <c:ptCount val="1"/>
                <c:pt idx="0">
                  <c:v>Решта витрат для забезпечення діяльності</c:v>
                </c:pt>
              </c:strCache>
            </c:strRef>
          </c:tx>
          <c:invertIfNegative val="0"/>
          <c:cat>
            <c:strRef>
              <c:f>'Лист2 (2)'!$D$4:$F$4</c:f>
              <c:strCache>
                <c:ptCount val="3"/>
                <c:pt idx="0">
                  <c:v>Тарифи станом на 01.03.2018 р.</c:v>
                </c:pt>
                <c:pt idx="1">
                  <c:v>Тарифи станом на 01.07.2018 р.</c:v>
                </c:pt>
                <c:pt idx="2">
                  <c:v>Тарифи станом на 17.11.2018 р.</c:v>
                </c:pt>
              </c:strCache>
            </c:strRef>
          </c:cat>
          <c:val>
            <c:numRef>
              <c:f>'Лист2 (2)'!$D$10:$F$10</c:f>
              <c:numCache>
                <c:formatCode>General</c:formatCode>
                <c:ptCount val="3"/>
                <c:pt idx="0">
                  <c:v>23024.270000000026</c:v>
                </c:pt>
                <c:pt idx="1">
                  <c:v>23051.910000000011</c:v>
                </c:pt>
                <c:pt idx="2">
                  <c:v>24000.989999999998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5241472"/>
        <c:axId val="175247360"/>
      </c:barChart>
      <c:catAx>
        <c:axId val="175241472"/>
        <c:scaling>
          <c:orientation val="minMax"/>
        </c:scaling>
        <c:delete val="0"/>
        <c:axPos val="b"/>
        <c:majorTickMark val="out"/>
        <c:minorTickMark val="none"/>
        <c:tickLblPos val="nextTo"/>
        <c:crossAx val="175247360"/>
        <c:crosses val="autoZero"/>
        <c:auto val="1"/>
        <c:lblAlgn val="ctr"/>
        <c:lblOffset val="100"/>
        <c:noMultiLvlLbl val="0"/>
      </c:catAx>
      <c:valAx>
        <c:axId val="1752473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75241472"/>
        <c:crosses val="autoZero"/>
        <c:crossBetween val="between"/>
      </c:valAx>
    </c:plotArea>
    <c:legend>
      <c:legendPos val="r"/>
      <c:legendEntry>
        <c:idx val="3"/>
        <c:delete val="1"/>
      </c:legendEntry>
      <c:layout/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E445A-8638-44F5-A5F2-B38CCFAC4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1281</TotalTime>
  <Pages>14</Pages>
  <Words>2740</Words>
  <Characters>15623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TarifAdmin</dc:creator>
  <cp:lastModifiedBy>Planov4</cp:lastModifiedBy>
  <cp:revision>39</cp:revision>
  <cp:lastPrinted>2019-05-24T07:53:00Z</cp:lastPrinted>
  <dcterms:created xsi:type="dcterms:W3CDTF">2019-05-07T13:54:00Z</dcterms:created>
  <dcterms:modified xsi:type="dcterms:W3CDTF">2019-05-24T11:14:00Z</dcterms:modified>
</cp:coreProperties>
</file>